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F3864"/>
          <w:sz w:val="30"/>
          <w:szCs w:val="30"/>
        </w:rPr>
        <w:t xml:space="preserve">UMOWA O WYKONANIE ROBÓT REMONTOWO-BUDOWLANYCH</w:t>
      </w:r>
    </w:p>
    <w:p>
      <w:pPr>
        <w:spacing w:after="240"/>
        <w:jc w:val="center"/>
      </w:pPr>
      <w:r>
        <w:rPr>
          <w:rFonts w:ascii="Calibri" w:cs="Calibri" w:eastAsia="Calibri" w:hAnsi="Calibri"/>
          <w:i/>
          <w:iCs/>
          <w:color w:val="595959"/>
          <w:sz w:val="18"/>
          <w:szCs w:val="18"/>
        </w:rPr>
        <w:t xml:space="preserve">Wzór dla prostych zleceń zawieranych między konsumentem a firmą wykonawczą — BudFinder.pl</w:t>
      </w:r>
    </w:p>
    <w:p>
      <w:pPr>
        <w:spacing w:after="200"/>
        <w:jc w:val="center"/>
      </w:pPr>
      <w:r>
        <w:rPr>
          <w:rFonts w:ascii="Calibri" w:cs="Calibri" w:eastAsia="Calibri" w:hAnsi="Calibri"/>
          <w:b w:val="false"/>
          <w:bCs w:val="false"/>
          <w:i/>
          <w:iCs/>
          <w:color w:val="595959"/>
          <w:sz w:val="21"/>
          <w:szCs w:val="21"/>
        </w:rPr>
        <w:t xml:space="preserve">BudFinder.pl nie jest stroną umowy, chyba że zawarto odrębną umowę bezpośrednio z BudFinder.pl.</w:t>
      </w:r>
    </w:p>
    <w:p>
      <w:pPr>
        <w:tabs>
          <w:tab w:val="right" w:pos="9506" w:leader="dot"/>
        </w:tabs>
        <w:spacing w:after="480"/>
      </w:pPr>
      <w:r>
        <w:rPr>
          <w:rFonts w:ascii="Calibri" w:cs="Calibri" w:eastAsia="Calibri" w:hAnsi="Calibri"/>
          <w:sz w:val="21"/>
          <w:szCs w:val="21"/>
        </w:rPr>
        <w:t xml:space="preserve">Data zawarcia umowy:  </w:t>
      </w:r>
      <w:r>
        <w:tab/>
      </w:r>
    </w:p>
    <w:p>
      <w:pPr>
        <w:tabs>
          <w:tab w:val="right" w:pos="9506" w:leader="dot"/>
        </w:tabs>
        <w:spacing w:after="480"/>
      </w:pPr>
      <w:r>
        <w:rPr>
          <w:rFonts w:ascii="Calibri" w:cs="Calibri" w:eastAsia="Calibri" w:hAnsi="Calibri"/>
          <w:sz w:val="21"/>
          <w:szCs w:val="21"/>
        </w:rPr>
        <w:t xml:space="preserve">Miejscowość:  </w:t>
      </w:r>
      <w:r>
        <w:tab/>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1. Strony umowy</w:t>
      </w:r>
    </w:p>
    <w:p>
      <w:pPr>
        <w:spacing w:after="140"/>
        <w:jc w:val="left"/>
      </w:pPr>
      <w:r>
        <w:rPr>
          <w:rFonts w:ascii="Calibri" w:cs="Calibri" w:eastAsia="Calibri" w:hAnsi="Calibri"/>
          <w:b/>
          <w:bCs/>
          <w:i w:val="false"/>
          <w:iCs w:val="false"/>
          <w:sz w:val="21"/>
          <w:szCs w:val="21"/>
        </w:rPr>
        <w:t xml:space="preserve">Wykonawca (Przedsiębiorca):</w:t>
      </w:r>
    </w:p>
    <w:p>
      <w:pPr>
        <w:tabs>
          <w:tab w:val="right" w:pos="9506" w:leader="dot"/>
        </w:tabs>
        <w:spacing w:after="480"/>
      </w:pPr>
      <w:r>
        <w:rPr>
          <w:rFonts w:ascii="Calibri" w:cs="Calibri" w:eastAsia="Calibri" w:hAnsi="Calibri"/>
          <w:sz w:val="21"/>
          <w:szCs w:val="21"/>
        </w:rPr>
        <w:t xml:space="preserve">Nazwa firmy / imię i nazwisko:  </w:t>
      </w:r>
      <w:r>
        <w:tab/>
      </w:r>
    </w:p>
    <w:p>
      <w:pPr>
        <w:tabs>
          <w:tab w:val="right" w:pos="9506" w:leader="dot"/>
        </w:tabs>
        <w:spacing w:after="480"/>
      </w:pPr>
      <w:r>
        <w:rPr>
          <w:rFonts w:ascii="Calibri" w:cs="Calibri" w:eastAsia="Calibri" w:hAnsi="Calibri"/>
          <w:sz w:val="21"/>
          <w:szCs w:val="21"/>
        </w:rPr>
        <w:t xml:space="preserve">NIP:  </w:t>
      </w:r>
      <w:r>
        <w:tab/>
      </w:r>
    </w:p>
    <w:p>
      <w:pPr>
        <w:tabs>
          <w:tab w:val="right" w:pos="9506" w:leader="dot"/>
        </w:tabs>
        <w:spacing w:after="480"/>
      </w:pPr>
      <w:r>
        <w:rPr>
          <w:rFonts w:ascii="Calibri" w:cs="Calibri" w:eastAsia="Calibri" w:hAnsi="Calibri"/>
          <w:sz w:val="21"/>
          <w:szCs w:val="21"/>
        </w:rPr>
        <w:t xml:space="preserve">REGON / KRS / CEIDG:  </w:t>
      </w:r>
      <w:r>
        <w:tab/>
      </w:r>
    </w:p>
    <w:p>
      <w:pPr>
        <w:tabs>
          <w:tab w:val="right" w:pos="9506" w:leader="dot"/>
        </w:tabs>
        <w:spacing w:after="480"/>
      </w:pPr>
      <w:r>
        <w:rPr>
          <w:rFonts w:ascii="Calibri" w:cs="Calibri" w:eastAsia="Calibri" w:hAnsi="Calibri"/>
          <w:sz w:val="21"/>
          <w:szCs w:val="21"/>
        </w:rPr>
        <w:t xml:space="preserve">Adres siedziby / działalności:  </w:t>
      </w:r>
      <w:r>
        <w:tab/>
      </w:r>
    </w:p>
    <w:p>
      <w:pPr>
        <w:tabs>
          <w:tab w:val="right" w:pos="9506" w:leader="dot"/>
        </w:tabs>
        <w:spacing w:after="480"/>
      </w:pPr>
      <w:r>
        <w:rPr>
          <w:rFonts w:ascii="Calibri" w:cs="Calibri" w:eastAsia="Calibri" w:hAnsi="Calibri"/>
          <w:sz w:val="21"/>
          <w:szCs w:val="21"/>
        </w:rPr>
        <w:t xml:space="preserve">Reprezentowany przez:  </w:t>
      </w:r>
      <w:r>
        <w:tab/>
      </w:r>
    </w:p>
    <w:p>
      <w:pPr>
        <w:tabs>
          <w:tab w:val="right" w:pos="9506" w:leader="dot"/>
        </w:tabs>
        <w:spacing w:after="480"/>
      </w:pPr>
      <w:r>
        <w:rPr>
          <w:rFonts w:ascii="Calibri" w:cs="Calibri" w:eastAsia="Calibri" w:hAnsi="Calibri"/>
          <w:sz w:val="21"/>
          <w:szCs w:val="21"/>
        </w:rPr>
        <w:t xml:space="preserve">Telefon:  </w:t>
      </w:r>
      <w:r>
        <w:tab/>
      </w:r>
    </w:p>
    <w:p>
      <w:pPr>
        <w:tabs>
          <w:tab w:val="right" w:pos="9506" w:leader="dot"/>
        </w:tabs>
        <w:spacing w:after="480"/>
      </w:pPr>
      <w:r>
        <w:rPr>
          <w:rFonts w:ascii="Calibri" w:cs="Calibri" w:eastAsia="Calibri" w:hAnsi="Calibri"/>
          <w:sz w:val="21"/>
          <w:szCs w:val="21"/>
        </w:rPr>
        <w:t xml:space="preserve">E-mail:  </w:t>
      </w:r>
      <w:r>
        <w:tab/>
      </w:r>
    </w:p>
    <w:p>
      <w:pPr>
        <w:tabs>
          <w:tab w:val="right" w:pos="9506" w:leader="dot"/>
        </w:tabs>
        <w:spacing w:after="480"/>
      </w:pPr>
      <w:r>
        <w:rPr>
          <w:rFonts w:ascii="Calibri" w:cs="Calibri" w:eastAsia="Calibri" w:hAnsi="Calibri"/>
          <w:sz w:val="21"/>
          <w:szCs w:val="21"/>
        </w:rPr>
        <w:t xml:space="preserve">Rachunek bankowy do płatności:  </w:t>
      </w:r>
      <w:r>
        <w:tab/>
      </w:r>
    </w:p>
    <w:p>
      <w:pPr>
        <w:spacing w:after="140"/>
        <w:jc w:val="left"/>
      </w:pPr>
      <w:r>
        <w:rPr>
          <w:rFonts w:ascii="Calibri" w:cs="Calibri" w:eastAsia="Calibri" w:hAnsi="Calibri"/>
          <w:b/>
          <w:bCs/>
          <w:i w:val="false"/>
          <w:iCs w:val="false"/>
          <w:sz w:val="21"/>
          <w:szCs w:val="21"/>
        </w:rPr>
        <w:t xml:space="preserve">Inwestor (Konsument):</w:t>
      </w:r>
    </w:p>
    <w:p>
      <w:pPr>
        <w:tabs>
          <w:tab w:val="right" w:pos="9506" w:leader="dot"/>
        </w:tabs>
        <w:spacing w:after="480"/>
      </w:pPr>
      <w:r>
        <w:rPr>
          <w:rFonts w:ascii="Calibri" w:cs="Calibri" w:eastAsia="Calibri" w:hAnsi="Calibri"/>
          <w:sz w:val="21"/>
          <w:szCs w:val="21"/>
        </w:rPr>
        <w:t xml:space="preserve">Imię i nazwisko:  </w:t>
      </w:r>
      <w:r>
        <w:tab/>
      </w:r>
    </w:p>
    <w:p>
      <w:pPr>
        <w:tabs>
          <w:tab w:val="right" w:pos="9506" w:leader="dot"/>
        </w:tabs>
        <w:spacing w:after="480"/>
      </w:pPr>
      <w:r>
        <w:rPr>
          <w:rFonts w:ascii="Calibri" w:cs="Calibri" w:eastAsia="Calibri" w:hAnsi="Calibri"/>
          <w:sz w:val="21"/>
          <w:szCs w:val="21"/>
        </w:rPr>
        <w:t xml:space="preserve">Adres zamieszkania:  </w:t>
      </w:r>
      <w:r>
        <w:tab/>
      </w:r>
    </w:p>
    <w:p>
      <w:pPr>
        <w:tabs>
          <w:tab w:val="right" w:pos="9506" w:leader="dot"/>
        </w:tabs>
        <w:spacing w:after="480"/>
      </w:pPr>
      <w:r>
        <w:rPr>
          <w:rFonts w:ascii="Calibri" w:cs="Calibri" w:eastAsia="Calibri" w:hAnsi="Calibri"/>
          <w:sz w:val="21"/>
          <w:szCs w:val="21"/>
        </w:rPr>
        <w:t xml:space="preserve">Adres korespondencyjny (jeżeli inny):  </w:t>
      </w:r>
      <w:r>
        <w:tab/>
      </w:r>
    </w:p>
    <w:p>
      <w:pPr>
        <w:tabs>
          <w:tab w:val="right" w:pos="9506" w:leader="dot"/>
        </w:tabs>
        <w:spacing w:after="480"/>
      </w:pPr>
      <w:r>
        <w:rPr>
          <w:rFonts w:ascii="Calibri" w:cs="Calibri" w:eastAsia="Calibri" w:hAnsi="Calibri"/>
          <w:sz w:val="21"/>
          <w:szCs w:val="21"/>
        </w:rPr>
        <w:t xml:space="preserve">PESEL (tylko jeśli niezbędny):  </w:t>
      </w:r>
      <w:r>
        <w:tab/>
      </w:r>
    </w:p>
    <w:p>
      <w:pPr>
        <w:tabs>
          <w:tab w:val="right" w:pos="9506" w:leader="dot"/>
        </w:tabs>
        <w:spacing w:after="480"/>
      </w:pPr>
      <w:r>
        <w:rPr>
          <w:rFonts w:ascii="Calibri" w:cs="Calibri" w:eastAsia="Calibri" w:hAnsi="Calibri"/>
          <w:sz w:val="21"/>
          <w:szCs w:val="21"/>
        </w:rPr>
        <w:t xml:space="preserve">Telefon:  </w:t>
      </w:r>
      <w:r>
        <w:tab/>
      </w:r>
    </w:p>
    <w:p>
      <w:pPr>
        <w:tabs>
          <w:tab w:val="right" w:pos="9506" w:leader="dot"/>
        </w:tabs>
        <w:spacing w:after="480"/>
      </w:pPr>
      <w:r>
        <w:rPr>
          <w:rFonts w:ascii="Calibri" w:cs="Calibri" w:eastAsia="Calibri" w:hAnsi="Calibri"/>
          <w:sz w:val="21"/>
          <w:szCs w:val="21"/>
        </w:rPr>
        <w:t xml:space="preserve">E-mail:  </w:t>
      </w:r>
      <w:r>
        <w:tab/>
      </w:r>
    </w:p>
    <w:p>
      <w:pPr>
        <w:spacing w:after="120"/>
      </w:pP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Inwestor oświadcza, że zawiera umowę jako konsument, tj. osoba fizyczna dokonująca czynności prawnej niezwiązanej bezpośrednio z jej działalnością gospodarczą lub zawodową.</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Jeżeli po stronie Inwestora występuje więcej niż jedna osoba, wszystkie te osoby odpowiadają za obowiązki wynikające z umowy solidarnie, o ile przepisy bezwzględnie obowiązujące nie stanowią inaczej.</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2. Sposób zawarcia umowy i pouczenia konsumenckie</w:t>
      </w:r>
    </w:p>
    <w:p>
      <w:pPr>
        <w:spacing w:after="12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Strony zaznaczają sposób zawarcia umowy:</w:t>
      </w:r>
    </w:p>
    <w:p>
      <w:pPr>
        <w:spacing w:after="120"/>
        <w:ind w:left="180"/>
      </w:pPr>
      <w:r>
        <w:rPr>
          <w:rFonts w:ascii="Calibri" w:cs="Calibri" w:eastAsia="Calibri" w:hAnsi="Calibri"/>
          <w:sz w:val="21"/>
          <w:szCs w:val="21"/>
        </w:rPr>
        <w:t xml:space="preserve">[ ] w lokalu przedsiębiorstwa Wykonawcy</w:t>
      </w:r>
    </w:p>
    <w:p>
      <w:pPr>
        <w:spacing w:after="120"/>
        <w:ind w:left="180"/>
      </w:pPr>
      <w:r>
        <w:rPr>
          <w:rFonts w:ascii="Calibri" w:cs="Calibri" w:eastAsia="Calibri" w:hAnsi="Calibri"/>
          <w:sz w:val="21"/>
          <w:szCs w:val="21"/>
        </w:rPr>
        <w:t xml:space="preserve">[ ] na odległość (np. e-mail, formularz, komunikator, telefon), bez jednoczesnej obecności Stron</w:t>
      </w:r>
    </w:p>
    <w:p>
      <w:pPr>
        <w:spacing w:after="120"/>
        <w:ind w:left="180"/>
      </w:pPr>
      <w:r>
        <w:rPr>
          <w:rFonts w:ascii="Calibri" w:cs="Calibri" w:eastAsia="Calibri" w:hAnsi="Calibri"/>
          <w:sz w:val="21"/>
          <w:szCs w:val="21"/>
        </w:rPr>
        <w:t xml:space="preserve">[ ] poza lokalem przedsiębiorstwa, po uprzednim umówieniu wizyty przez Inwestora</w:t>
      </w:r>
    </w:p>
    <w:p>
      <w:pPr>
        <w:spacing w:after="120"/>
        <w:ind w:left="180"/>
      </w:pPr>
      <w:r>
        <w:rPr>
          <w:rFonts w:ascii="Calibri" w:cs="Calibri" w:eastAsia="Calibri" w:hAnsi="Calibri"/>
          <w:sz w:val="21"/>
          <w:szCs w:val="21"/>
        </w:rPr>
        <w:t xml:space="preserve">[ ] poza lokalem przedsiębiorstwa podczas nieumówionej wizyty Wykonawcy w miejscu zamieszkania lub zwykłego pobytu Inwestora</w:t>
      </w:r>
    </w:p>
    <w:p>
      <w:pPr>
        <w:spacing w:after="120"/>
        <w:ind w:left="180"/>
      </w:pPr>
      <w:r>
        <w:rPr>
          <w:rFonts w:ascii="Calibri" w:cs="Calibri" w:eastAsia="Calibri" w:hAnsi="Calibri"/>
          <w:sz w:val="21"/>
          <w:szCs w:val="21"/>
        </w:rPr>
        <w:t xml:space="preserve">[ ] poza lokalem przedsiębiorstwa podczas wycieczki zorganizowanej przez przedsiębiorcę</w:t>
      </w:r>
    </w:p>
    <w:p>
      <w:pPr>
        <w:spacing w:after="120"/>
        <w:ind w:left="180"/>
      </w:pPr>
      <w:r>
        <w:rPr>
          <w:rFonts w:ascii="Calibri" w:cs="Calibri" w:eastAsia="Calibri" w:hAnsi="Calibri"/>
          <w:sz w:val="21"/>
          <w:szCs w:val="21"/>
        </w:rPr>
        <w:t xml:space="preserve">[ ] podczas pokazu; jeżeli pokaz odbył się w miejscu zamieszkania/pobytu Inwestora, wskaż, czy na wyraźne zaproszenie Inwestora:  [ ] TAK  [ ] NIE</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Jeżeli umowa została zawarta w lokalu przedsiębiorstwa Wykonawcy, ustawowe prawo odstąpienia od umowy bez podania przyczyny nie przysługuje, chyba że Wykonawca przyzna je dobrowolnie wprost w umowie.</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Jeżeli umowa została zawarta na odległość albo poza lokalem przedsiębiorstwa, Inwestorowi przysługuje prawo odstąpienia na zasadach wskazanych w § 15 oraz w Załączniku nr 4.</w:t>
      </w:r>
    </w:p>
    <w:p>
      <w:pPr>
        <w:spacing w:after="9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Wykonawca przekazuje Inwestorowi egzemplarz umowy i załączników na papierze albo, za zgodą Inwestora, na innym trwałym nośniku.</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3. Definicje</w:t>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Front robót — pełny, nieutrudniony i bezpieczny dostęp do miejsca prac, obejmujący w szczególności dostęp do lokalu/posesji, opróżnienie miejsca prac w zakresie uzgodnionym w Załączniku nr 1, dostęp do energii elektrycznej i wody oraz dostępność materiałów zapewnianych przez Inwestora.</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Zakres Prac — prace objęte wynagrodzeniem oraz wyłączenia, wskazane w Załączniku nr 1.</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Prace dodatkowe — prace niewskazane jako objęte ceną w Załączniku nr 1 albo prace wynikające ze zmian zakresu, wymagające odrębnej akceptacji zgodnie z § 8.</w:t>
      </w:r>
    </w:p>
    <w:p>
      <w:pPr>
        <w:spacing w:after="9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Protokół Zmiany — dokument albo uzgodnienie w formie dokumentowej określające zmianę zakresu, cenę brutto i wpływ na termin.</w:t>
      </w:r>
    </w:p>
    <w:p>
      <w:pPr>
        <w:spacing w:after="90"/>
        <w:ind w:left="420" w:hanging="420"/>
        <w:jc w:val="both"/>
      </w:pPr>
      <w:r>
        <w:rPr>
          <w:rFonts w:ascii="Calibri" w:cs="Calibri" w:eastAsia="Calibri" w:hAnsi="Calibri"/>
          <w:b/>
          <w:bCs/>
          <w:sz w:val="21"/>
          <w:szCs w:val="21"/>
        </w:rPr>
        <w:t xml:space="preserve">5. </w:t>
      </w:r>
      <w:r>
        <w:rPr>
          <w:rFonts w:ascii="Calibri" w:cs="Calibri" w:eastAsia="Calibri" w:hAnsi="Calibri"/>
          <w:sz w:val="21"/>
          <w:szCs w:val="21"/>
        </w:rPr>
        <w:t xml:space="preserve">Protokół Odbioru — dokument potwierdzający zgłoszenie gotowości, odbiór prac, usterki lub odmowę odbioru, sporządzany według Załącznika nr 3.</w:t>
      </w:r>
    </w:p>
    <w:p>
      <w:pPr>
        <w:spacing w:after="90"/>
        <w:ind w:left="420" w:hanging="420"/>
        <w:jc w:val="both"/>
      </w:pPr>
      <w:r>
        <w:rPr>
          <w:rFonts w:ascii="Calibri" w:cs="Calibri" w:eastAsia="Calibri" w:hAnsi="Calibri"/>
          <w:b/>
          <w:bCs/>
          <w:sz w:val="21"/>
          <w:szCs w:val="21"/>
        </w:rPr>
        <w:t xml:space="preserve">6. </w:t>
      </w:r>
      <w:r>
        <w:rPr>
          <w:rFonts w:ascii="Calibri" w:cs="Calibri" w:eastAsia="Calibri" w:hAnsi="Calibri"/>
          <w:sz w:val="21"/>
          <w:szCs w:val="21"/>
        </w:rPr>
        <w:t xml:space="preserve">Forma dokumentowa — forma umożliwiająca ustalenie osoby składającej oświadczenie, w szczególności e-mail, SMS lub komunikator, jeżeli treść można utrwalić i odtworzyć (art. 77(2) Kodeksu cywilnego).</w:t>
      </w:r>
    </w:p>
    <w:p>
      <w:pPr>
        <w:spacing w:after="90"/>
        <w:ind w:left="420" w:hanging="420"/>
        <w:jc w:val="both"/>
      </w:pPr>
      <w:r>
        <w:rPr>
          <w:rFonts w:ascii="Calibri" w:cs="Calibri" w:eastAsia="Calibri" w:hAnsi="Calibri"/>
          <w:b/>
          <w:bCs/>
          <w:sz w:val="21"/>
          <w:szCs w:val="21"/>
        </w:rPr>
        <w:t xml:space="preserve">7. </w:t>
      </w:r>
      <w:r>
        <w:rPr>
          <w:rFonts w:ascii="Calibri" w:cs="Calibri" w:eastAsia="Calibri" w:hAnsi="Calibri"/>
          <w:sz w:val="21"/>
          <w:szCs w:val="21"/>
        </w:rPr>
        <w:t xml:space="preserve">Trwały nośnik — nośnik umożliwiający przechowanie informacji i dostęp do niej w przyszłości przez czas odpowiedni do celów informacji, np. papier, e-mail, plik PDF zapisany przez Inwestora.</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4. Przedmiot umowy i miejsce wykonania</w:t>
      </w:r>
    </w:p>
    <w:p>
      <w:pPr>
        <w:spacing w:after="14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Wykonawca zobowiązuje się wykonać prace remontowo-budowlane w obiekcie pod adresem:</w:t>
      </w:r>
    </w:p>
    <w:p>
      <w:pPr>
        <w:tabs>
          <w:tab w:val="right" w:pos="9506" w:leader="dot"/>
        </w:tabs>
        <w:spacing w:after="480"/>
      </w:pPr>
      <w:r>
        <w:rPr>
          <w:rFonts w:ascii="Calibri" w:cs="Calibri" w:eastAsia="Calibri" w:hAnsi="Calibri"/>
          <w:sz w:val="21"/>
          <w:szCs w:val="21"/>
        </w:rPr>
        <w:t xml:space="preserve">Adres obiektu:  </w:t>
      </w:r>
      <w:r>
        <w:tab/>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Szczegółowy zakres prac objętych wynagrodzeniem, standard wykonania, materiały, ilości/metraże oraz prace wyłączone z ceny określa Załącznik nr 1.</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Prace niewskazane w Załączniku nr 1 jako objęte ceną nie są objęte wynagrodzeniem podstawowym i wymagają odrębnego uzgodnienia jako prace dodatkowe.</w:t>
      </w:r>
    </w:p>
    <w:p>
      <w:pPr>
        <w:spacing w:after="9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Wykonawca oświadcza, że dysponuje wiedzą, doświadczeniem oraz, jeżeli wymagają tego przepisy prawa, uprawnieniami niezbędnymi do wykonania przedmiotu umowy. Wykonawca wykona prace zgodnie z umową, zasadami wiedzy technicznej, obowiązującymi przepisami oraz uzgodnionym standardem.</w:t>
      </w:r>
    </w:p>
    <w:p>
      <w:pPr>
        <w:spacing w:after="90"/>
        <w:ind w:left="420" w:hanging="420"/>
        <w:jc w:val="both"/>
      </w:pPr>
      <w:r>
        <w:rPr>
          <w:rFonts w:ascii="Calibri" w:cs="Calibri" w:eastAsia="Calibri" w:hAnsi="Calibri"/>
          <w:b/>
          <w:bCs/>
          <w:sz w:val="21"/>
          <w:szCs w:val="21"/>
        </w:rPr>
        <w:t xml:space="preserve">5. </w:t>
      </w:r>
      <w:r>
        <w:rPr>
          <w:rFonts w:ascii="Calibri" w:cs="Calibri" w:eastAsia="Calibri" w:hAnsi="Calibri"/>
          <w:sz w:val="21"/>
          <w:szCs w:val="21"/>
        </w:rPr>
        <w:t xml:space="preserve">Wzór jest przeznaczony dla prostych zleceń B2C. Jeżeli prace wymagają projektu, pozwolenia, zgłoszenia, udziału kierownika budowy, nadzoru inwestorskiego albo ingerencji w elementy konstrukcyjne, instalacje wspólne, części wspólne budynku lub elewację, Strony powinny uzupełnić umowę o odpowiednie postanowienia i dokumenty wymagane przepisami.</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5. Oświadczenia Inwestora, zgody i stan obiektu</w:t>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Inwestor oświadcza, że posiada tytuł prawny do nieruchomości/lokalu oraz prawo do zlecenia prac objętych umową.</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Inwestor odpowiada za uzyskanie wymaganych zgód właściciela, współwłaścicieli, wspólnoty mieszkaniowej, spółdzielni, administratora budynku oraz wymaganych zgłoszeń, pozwoleń lub uzgodnień, chyba że Strony wyraźnie postanowią inaczej w Załączniku nr 1.</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Inwestor przed rozpoczęciem prac poinformuje Wykonawcę o znanych mu wadach podłoża, zawilgoceniu, zagrzybieniu, przebiegu instalacji, ograniczeniach regulaminowych budynku, godzinach prowadzenia prac oraz innych okolicznościach mogących wpływać na wykonanie umowy.</w:t>
      </w:r>
    </w:p>
    <w:p>
      <w:pPr>
        <w:spacing w:after="9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Jeżeli Inwestor dostarcza materiały, odpowiada za ich terminową dostępność, zgodność z przeznaczeniem i kompletność. Wykonawca, jeżeli przy zachowaniu należytej staranności stwierdzi nieprzydatność materiałów lub ryzyko ich użycia, niezwłocznie poinformuje o tym Inwestora przed ich użyciem.</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6. Terminy i przekazanie frontu robót</w:t>
      </w:r>
    </w:p>
    <w:p>
      <w:pPr>
        <w:tabs>
          <w:tab w:val="right" w:pos="9506" w:leader="dot"/>
        </w:tabs>
        <w:spacing w:after="480"/>
      </w:pPr>
      <w:r>
        <w:rPr>
          <w:rFonts w:ascii="Calibri" w:cs="Calibri" w:eastAsia="Calibri" w:hAnsi="Calibri"/>
          <w:sz w:val="21"/>
          <w:szCs w:val="21"/>
        </w:rPr>
        <w:t xml:space="preserve">Planowane rozpoczęcie prac:  </w:t>
      </w:r>
      <w:r>
        <w:tab/>
      </w:r>
    </w:p>
    <w:p>
      <w:pPr>
        <w:tabs>
          <w:tab w:val="right" w:pos="9506" w:leader="dot"/>
        </w:tabs>
        <w:spacing w:after="480"/>
      </w:pPr>
      <w:r>
        <w:rPr>
          <w:rFonts w:ascii="Calibri" w:cs="Calibri" w:eastAsia="Calibri" w:hAnsi="Calibri"/>
          <w:sz w:val="21"/>
          <w:szCs w:val="21"/>
        </w:rPr>
        <w:t xml:space="preserve">Planowane zakończenie prac:  </w:t>
      </w:r>
      <w:r>
        <w:tab/>
      </w:r>
    </w:p>
    <w:p>
      <w:pPr>
        <w:tabs>
          <w:tab w:val="right" w:pos="9506" w:leader="dot"/>
        </w:tabs>
        <w:spacing w:after="480"/>
      </w:pPr>
      <w:r>
        <w:rPr>
          <w:rFonts w:ascii="Calibri" w:cs="Calibri" w:eastAsia="Calibri" w:hAnsi="Calibri"/>
          <w:sz w:val="21"/>
          <w:szCs w:val="21"/>
        </w:rPr>
        <w:t xml:space="preserve">Termin przekazania frontu robót przez Inwestora:  </w:t>
      </w:r>
      <w:r>
        <w:tab/>
      </w:r>
    </w:p>
    <w:p>
      <w:pPr>
        <w:tabs>
          <w:tab w:val="right" w:pos="9506" w:leader="dot"/>
        </w:tabs>
        <w:spacing w:after="480"/>
      </w:pPr>
      <w:r>
        <w:rPr>
          <w:rFonts w:ascii="Calibri" w:cs="Calibri" w:eastAsia="Calibri" w:hAnsi="Calibri"/>
          <w:sz w:val="21"/>
          <w:szCs w:val="21"/>
        </w:rPr>
        <w:t xml:space="preserve">Dni i godziny prowadzenia prac:  </w:t>
      </w:r>
      <w:r>
        <w:tab/>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Termin rozpoczęcia prac liczy się od spełnienia łącznie następujących warunków: podpisania umowy, przekazania frontu robót, przekazania wymaganych zgód/dokumentów, dostępności materiałów wymaganych na danym etapie oraz zapłaty zaliczki, o ile zaliczka jest należna i jej pobranie jest dopuszczalne zgodnie z § 7.</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Opóźnienie w przekazaniu frontu robót, materiałów, zgód lub informacji z przyczyn niezależnych od Wykonawcy przesuwa termin wykonania o czas przeszkody oraz o czas technicznie uzasadniony na ponowną organizację prac.</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Wykonawca poinformuje Inwestora w formie dokumentowej o przeszkodzie wpływającej na termin, jeżeli przeszkoda nie wynika wprost z zachowania Inwestora lub okoliczności znanych obu Stronom.</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7. Wynagrodzenie i płatności</w:t>
      </w:r>
    </w:p>
    <w:p>
      <w:pPr>
        <w:spacing w:after="14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Za wykonanie prac objętych Załącznikiem nr 1 Strony ustalają wynagrodzenie brutto (zł) oraz słownie:</w:t>
      </w:r>
    </w:p>
    <w:p>
      <w:pPr>
        <w:tabs>
          <w:tab w:val="right" w:pos="9506" w:leader="dot"/>
        </w:tabs>
        <w:spacing w:after="480"/>
      </w:pPr>
      <w:r>
        <w:rPr>
          <w:rFonts w:ascii="Calibri" w:cs="Calibri" w:eastAsia="Calibri" w:hAnsi="Calibri"/>
          <w:sz w:val="21"/>
          <w:szCs w:val="21"/>
        </w:rPr>
        <w:t xml:space="preserve">Wynagrodzenie brutto (zł):  </w:t>
      </w:r>
      <w:r>
        <w:tab/>
      </w:r>
    </w:p>
    <w:p>
      <w:pPr>
        <w:tabs>
          <w:tab w:val="right" w:pos="9506" w:leader="dot"/>
        </w:tabs>
        <w:spacing w:after="480"/>
      </w:pPr>
      <w:r>
        <w:rPr>
          <w:rFonts w:ascii="Calibri" w:cs="Calibri" w:eastAsia="Calibri" w:hAnsi="Calibri"/>
          <w:sz w:val="21"/>
          <w:szCs w:val="21"/>
        </w:rPr>
        <w:t xml:space="preserve">Słownie:  </w:t>
      </w:r>
      <w:r>
        <w:tab/>
      </w:r>
    </w:p>
    <w:p>
      <w:pPr>
        <w:spacing w:after="14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Cena wskazana konsumentowi jest ceną brutto i obejmuje podatki, chyba że Wykonawca korzysta ze zwolnienia z VAT — w takim przypadku należy to wyraźnie wskazać poniżej:</w:t>
      </w:r>
    </w:p>
    <w:p>
      <w:pPr>
        <w:tabs>
          <w:tab w:val="right" w:pos="9506" w:leader="dot"/>
        </w:tabs>
        <w:spacing w:after="480"/>
      </w:pPr>
      <w:r>
        <w:rPr>
          <w:rFonts w:ascii="Calibri" w:cs="Calibri" w:eastAsia="Calibri" w:hAnsi="Calibri"/>
          <w:sz w:val="21"/>
          <w:szCs w:val="21"/>
        </w:rPr>
        <w:t xml:space="preserve">Adnotacja o zwolnieniu z VAT (jeśli dotyczy):  </w:t>
      </w:r>
      <w:r>
        <w:tab/>
      </w:r>
    </w:p>
    <w:p>
      <w:pPr>
        <w:spacing w:after="14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Wynagrodzenie obejmuje wyłącznie prace wskazane w Załączniku nr 1 jako objęte ceną. Prace dodatkowe są rozliczane zgodnie z § 8.</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3006"/>
        <w:gridCol w:w="2200"/>
        <w:gridCol w:w="2200"/>
        <w:gridCol w:w="2100"/>
      </w:tblGrid>
      <w:tr>
        <w:trPr>
          <w:tblHeader/>
        </w:trPr>
        <w:tc>
          <w:tcPr>
            <w:tcW w:type="dxa" w:w="3006"/>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6"/>
                <w:szCs w:val="16"/>
              </w:rPr>
              <w:t xml:space="preserve">Etap / płatność</w:t>
            </w:r>
          </w:p>
        </w:tc>
        <w:tc>
          <w:tcPr>
            <w:tcW w:type="dxa" w:w="2200"/>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6"/>
                <w:szCs w:val="16"/>
              </w:rPr>
              <w:t xml:space="preserve">Kwota brutto</w:t>
            </w:r>
          </w:p>
        </w:tc>
        <w:tc>
          <w:tcPr>
            <w:tcW w:type="dxa" w:w="2200"/>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6"/>
                <w:szCs w:val="16"/>
              </w:rPr>
              <w:t xml:space="preserve">Termin zapłaty</w:t>
            </w:r>
          </w:p>
        </w:tc>
        <w:tc>
          <w:tcPr>
            <w:tcW w:type="dxa" w:w="2100"/>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6"/>
                <w:szCs w:val="16"/>
              </w:rPr>
              <w:t xml:space="preserve">Uwagi</w:t>
            </w:r>
          </w:p>
        </w:tc>
      </w:tr>
      <w:tr>
        <w:trPr>
          <w:trHeight w:val="720" w:hRule="atLeast"/>
        </w:trPr>
        <w:tc>
          <w:tcPr>
            <w:tcW w:type="dxa" w:w="3006"/>
            <w:tcMar>
              <w:top w:type="dxa" w:w="130"/>
              <w:left w:type="dxa" w:w="90"/>
              <w:bottom w:type="dxa" w:w="130"/>
              <w:right w:type="dxa" w:w="90"/>
            </w:tcMar>
          </w:tcPr>
          <w:p>
            <w:r>
              <w:rPr>
                <w:rFonts w:ascii="Calibri" w:cs="Calibri" w:eastAsia="Calibri" w:hAnsi="Calibri"/>
                <w:b w:val="false"/>
                <w:bCs w:val="false"/>
                <w:i w:val="false"/>
                <w:iCs w:val="false"/>
                <w:sz w:val="19"/>
                <w:szCs w:val="19"/>
              </w:rPr>
              <w:t xml:space="preserve">Zaliczka (jeżeli dopuszczalna)</w:t>
            </w:r>
          </w:p>
        </w:tc>
        <w:tc>
          <w:tcPr>
            <w:tcW w:type="dxa" w:w="2200"/>
            <w:tcMar>
              <w:top w:type="dxa" w:w="130"/>
              <w:left w:type="dxa" w:w="90"/>
              <w:bottom w:type="dxa" w:w="130"/>
              <w:right w:type="dxa" w:w="90"/>
            </w:tcMar>
          </w:tcPr>
          <w:p>
            <w:pPr>
              <w:tabs>
                <w:tab w:val="right" w:pos="1900" w:leader="dot"/>
              </w:tabs>
              <w:spacing w:after="170"/>
            </w:pPr>
            <w:r>
              <w:tab/>
            </w:r>
          </w:p>
        </w:tc>
        <w:tc>
          <w:tcPr>
            <w:tcW w:type="dxa" w:w="2200"/>
            <w:tcMar>
              <w:top w:type="dxa" w:w="130"/>
              <w:left w:type="dxa" w:w="90"/>
              <w:bottom w:type="dxa" w:w="130"/>
              <w:right w:type="dxa" w:w="90"/>
            </w:tcMar>
          </w:tcPr>
          <w:p>
            <w:pPr>
              <w:tabs>
                <w:tab w:val="right" w:pos="1900" w:leader="dot"/>
              </w:tabs>
              <w:spacing w:after="170"/>
            </w:pPr>
            <w:r>
              <w:tab/>
            </w:r>
          </w:p>
        </w:tc>
        <w:tc>
          <w:tcPr>
            <w:tcW w:type="dxa" w:w="2100"/>
            <w:tcMar>
              <w:top w:type="dxa" w:w="130"/>
              <w:left w:type="dxa" w:w="90"/>
              <w:bottom w:type="dxa" w:w="130"/>
              <w:right w:type="dxa" w:w="90"/>
            </w:tcMar>
          </w:tcPr>
          <w:p>
            <w:pPr>
              <w:tabs>
                <w:tab w:val="right" w:pos="1800" w:leader="dot"/>
              </w:tabs>
              <w:spacing w:after="170"/>
            </w:pPr>
            <w:r>
              <w:tab/>
            </w:r>
          </w:p>
        </w:tc>
      </w:tr>
      <w:tr>
        <w:trPr>
          <w:trHeight w:val="720" w:hRule="atLeast"/>
        </w:trPr>
        <w:tc>
          <w:tcPr>
            <w:tcW w:type="dxa" w:w="3006"/>
            <w:tcMar>
              <w:top w:type="dxa" w:w="130"/>
              <w:left w:type="dxa" w:w="90"/>
              <w:bottom w:type="dxa" w:w="130"/>
              <w:right w:type="dxa" w:w="90"/>
            </w:tcMar>
          </w:tcPr>
          <w:p>
            <w:pPr>
              <w:tabs>
                <w:tab w:val="right" w:pos="2700" w:leader="dot"/>
              </w:tabs>
              <w:spacing w:after="170"/>
            </w:pPr>
            <w:r>
              <w:rPr>
                <w:rFonts w:ascii="Calibri" w:cs="Calibri" w:eastAsia="Calibri" w:hAnsi="Calibri"/>
                <w:b w:val="false"/>
                <w:bCs w:val="false"/>
                <w:i w:val="false"/>
                <w:iCs w:val="false"/>
                <w:sz w:val="20"/>
                <w:szCs w:val="20"/>
              </w:rPr>
              <w:t xml:space="preserve">Transza po etapie:</w:t>
            </w:r>
            <w:r>
              <w:tab/>
            </w:r>
          </w:p>
        </w:tc>
        <w:tc>
          <w:tcPr>
            <w:tcW w:type="dxa" w:w="2200"/>
            <w:tcMar>
              <w:top w:type="dxa" w:w="130"/>
              <w:left w:type="dxa" w:w="90"/>
              <w:bottom w:type="dxa" w:w="130"/>
              <w:right w:type="dxa" w:w="90"/>
            </w:tcMar>
          </w:tcPr>
          <w:p>
            <w:pPr>
              <w:tabs>
                <w:tab w:val="right" w:pos="1900" w:leader="dot"/>
              </w:tabs>
              <w:spacing w:after="170"/>
            </w:pPr>
            <w:r>
              <w:tab/>
            </w:r>
          </w:p>
        </w:tc>
        <w:tc>
          <w:tcPr>
            <w:tcW w:type="dxa" w:w="2200"/>
            <w:tcMar>
              <w:top w:type="dxa" w:w="130"/>
              <w:left w:type="dxa" w:w="90"/>
              <w:bottom w:type="dxa" w:w="130"/>
              <w:right w:type="dxa" w:w="90"/>
            </w:tcMar>
          </w:tcPr>
          <w:p>
            <w:pPr>
              <w:tabs>
                <w:tab w:val="right" w:pos="1900" w:leader="dot"/>
              </w:tabs>
              <w:spacing w:after="170"/>
            </w:pPr>
            <w:r>
              <w:tab/>
            </w:r>
          </w:p>
        </w:tc>
        <w:tc>
          <w:tcPr>
            <w:tcW w:type="dxa" w:w="2100"/>
            <w:tcMar>
              <w:top w:type="dxa" w:w="130"/>
              <w:left w:type="dxa" w:w="90"/>
              <w:bottom w:type="dxa" w:w="130"/>
              <w:right w:type="dxa" w:w="90"/>
            </w:tcMar>
          </w:tcPr>
          <w:p>
            <w:pPr>
              <w:tabs>
                <w:tab w:val="right" w:pos="1800" w:leader="dot"/>
              </w:tabs>
              <w:spacing w:after="170"/>
            </w:pPr>
            <w:r>
              <w:tab/>
            </w:r>
          </w:p>
        </w:tc>
      </w:tr>
      <w:tr>
        <w:trPr>
          <w:trHeight w:val="720" w:hRule="atLeast"/>
        </w:trPr>
        <w:tc>
          <w:tcPr>
            <w:tcW w:type="dxa" w:w="3006"/>
            <w:tcMar>
              <w:top w:type="dxa" w:w="130"/>
              <w:left w:type="dxa" w:w="90"/>
              <w:bottom w:type="dxa" w:w="130"/>
              <w:right w:type="dxa" w:w="90"/>
            </w:tcMar>
          </w:tcPr>
          <w:p>
            <w:pPr>
              <w:tabs>
                <w:tab w:val="right" w:pos="2700" w:leader="dot"/>
              </w:tabs>
              <w:spacing w:after="170"/>
            </w:pPr>
            <w:r>
              <w:rPr>
                <w:rFonts w:ascii="Calibri" w:cs="Calibri" w:eastAsia="Calibri" w:hAnsi="Calibri"/>
                <w:b w:val="false"/>
                <w:bCs w:val="false"/>
                <w:i w:val="false"/>
                <w:iCs w:val="false"/>
                <w:sz w:val="20"/>
                <w:szCs w:val="20"/>
              </w:rPr>
              <w:t xml:space="preserve">Transza po etapie:</w:t>
            </w:r>
            <w:r>
              <w:tab/>
            </w:r>
          </w:p>
        </w:tc>
        <w:tc>
          <w:tcPr>
            <w:tcW w:type="dxa" w:w="2200"/>
            <w:tcMar>
              <w:top w:type="dxa" w:w="130"/>
              <w:left w:type="dxa" w:w="90"/>
              <w:bottom w:type="dxa" w:w="130"/>
              <w:right w:type="dxa" w:w="90"/>
            </w:tcMar>
          </w:tcPr>
          <w:p>
            <w:pPr>
              <w:tabs>
                <w:tab w:val="right" w:pos="1900" w:leader="dot"/>
              </w:tabs>
              <w:spacing w:after="170"/>
            </w:pPr>
            <w:r>
              <w:tab/>
            </w:r>
          </w:p>
        </w:tc>
        <w:tc>
          <w:tcPr>
            <w:tcW w:type="dxa" w:w="2200"/>
            <w:tcMar>
              <w:top w:type="dxa" w:w="130"/>
              <w:left w:type="dxa" w:w="90"/>
              <w:bottom w:type="dxa" w:w="130"/>
              <w:right w:type="dxa" w:w="90"/>
            </w:tcMar>
          </w:tcPr>
          <w:p>
            <w:pPr>
              <w:tabs>
                <w:tab w:val="right" w:pos="1900" w:leader="dot"/>
              </w:tabs>
              <w:spacing w:after="170"/>
            </w:pPr>
            <w:r>
              <w:tab/>
            </w:r>
          </w:p>
        </w:tc>
        <w:tc>
          <w:tcPr>
            <w:tcW w:type="dxa" w:w="2100"/>
            <w:tcMar>
              <w:top w:type="dxa" w:w="130"/>
              <w:left w:type="dxa" w:w="90"/>
              <w:bottom w:type="dxa" w:w="130"/>
              <w:right w:type="dxa" w:w="90"/>
            </w:tcMar>
          </w:tcPr>
          <w:p>
            <w:pPr>
              <w:tabs>
                <w:tab w:val="right" w:pos="1800" w:leader="dot"/>
              </w:tabs>
              <w:spacing w:after="170"/>
            </w:pPr>
            <w:r>
              <w:tab/>
            </w:r>
          </w:p>
        </w:tc>
      </w:tr>
      <w:tr>
        <w:trPr>
          <w:trHeight w:val="720" w:hRule="atLeast"/>
        </w:trPr>
        <w:tc>
          <w:tcPr>
            <w:tcW w:type="dxa" w:w="3006"/>
            <w:tcMar>
              <w:top w:type="dxa" w:w="130"/>
              <w:left w:type="dxa" w:w="90"/>
              <w:bottom w:type="dxa" w:w="130"/>
              <w:right w:type="dxa" w:w="90"/>
            </w:tcMar>
          </w:tcPr>
          <w:p>
            <w:r>
              <w:rPr>
                <w:rFonts w:ascii="Calibri" w:cs="Calibri" w:eastAsia="Calibri" w:hAnsi="Calibri"/>
                <w:b w:val="false"/>
                <w:bCs w:val="false"/>
                <w:i w:val="false"/>
                <w:iCs w:val="false"/>
                <w:sz w:val="19"/>
                <w:szCs w:val="19"/>
              </w:rPr>
              <w:t xml:space="preserve">Transza końcowa</w:t>
            </w:r>
          </w:p>
        </w:tc>
        <w:tc>
          <w:tcPr>
            <w:tcW w:type="dxa" w:w="2200"/>
            <w:tcMar>
              <w:top w:type="dxa" w:w="130"/>
              <w:left w:type="dxa" w:w="90"/>
              <w:bottom w:type="dxa" w:w="130"/>
              <w:right w:type="dxa" w:w="90"/>
            </w:tcMar>
          </w:tcPr>
          <w:p>
            <w:pPr>
              <w:tabs>
                <w:tab w:val="right" w:pos="1900" w:leader="dot"/>
              </w:tabs>
              <w:spacing w:after="170"/>
            </w:pPr>
            <w:r>
              <w:tab/>
            </w:r>
          </w:p>
        </w:tc>
        <w:tc>
          <w:tcPr>
            <w:tcW w:type="dxa" w:w="2200"/>
            <w:tcMar>
              <w:top w:type="dxa" w:w="130"/>
              <w:left w:type="dxa" w:w="90"/>
              <w:bottom w:type="dxa" w:w="130"/>
              <w:right w:type="dxa" w:w="90"/>
            </w:tcMar>
          </w:tcPr>
          <w:p>
            <w:pPr>
              <w:tabs>
                <w:tab w:val="right" w:pos="1900" w:leader="dot"/>
              </w:tabs>
              <w:spacing w:after="170"/>
            </w:pPr>
            <w:r>
              <w:tab/>
            </w:r>
          </w:p>
        </w:tc>
        <w:tc>
          <w:tcPr>
            <w:tcW w:type="dxa" w:w="2100"/>
            <w:tcMar>
              <w:top w:type="dxa" w:w="130"/>
              <w:left w:type="dxa" w:w="90"/>
              <w:bottom w:type="dxa" w:w="130"/>
              <w:right w:type="dxa" w:w="90"/>
            </w:tcMar>
          </w:tcPr>
          <w:p>
            <w:pPr>
              <w:tabs>
                <w:tab w:val="right" w:pos="1800" w:leader="dot"/>
              </w:tabs>
              <w:spacing w:after="170"/>
            </w:pPr>
            <w:r>
              <w:tab/>
            </w:r>
          </w:p>
        </w:tc>
      </w:tr>
    </w:tbl>
    <w:p>
      <w:pPr>
        <w:spacing w:after="160"/>
      </w:pPr>
    </w:p>
    <w:p>
      <w:pPr>
        <w:spacing w:after="9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Jeżeli umowa została zawarta podczas wycieczki, nieumówionej wizyty Wykonawcy w miejscu zamieszkania lub zwykłego pobytu Inwestora albo podczas pokazu, Wykonawca nie może przyjąć od Inwestora żadnej płatności przed upływem właściwego terminu do odstąpienia od umowy, chyba że przepisy bezwzględnie obowiązujące wyraźnie dopuszczają wcześniejszą płatność.</w:t>
      </w:r>
    </w:p>
    <w:p>
      <w:pPr>
        <w:spacing w:after="90"/>
        <w:ind w:left="420" w:hanging="420"/>
        <w:jc w:val="both"/>
      </w:pPr>
      <w:r>
        <w:rPr>
          <w:rFonts w:ascii="Calibri" w:cs="Calibri" w:eastAsia="Calibri" w:hAnsi="Calibri"/>
          <w:b/>
          <w:bCs/>
          <w:sz w:val="21"/>
          <w:szCs w:val="21"/>
        </w:rPr>
        <w:t xml:space="preserve">5. </w:t>
      </w:r>
      <w:r>
        <w:rPr>
          <w:rFonts w:ascii="Calibri" w:cs="Calibri" w:eastAsia="Calibri" w:hAnsi="Calibri"/>
          <w:sz w:val="21"/>
          <w:szCs w:val="21"/>
        </w:rPr>
        <w:t xml:space="preserve">Za opóźnienie w płatności Wykonawca może naliczać odsetki ustawowe za opóźnienie (art. 481 Kodeksu cywilnego).</w:t>
      </w:r>
    </w:p>
    <w:p>
      <w:pPr>
        <w:spacing w:after="90"/>
        <w:ind w:left="420" w:hanging="420"/>
        <w:jc w:val="both"/>
      </w:pPr>
      <w:r>
        <w:rPr>
          <w:rFonts w:ascii="Calibri" w:cs="Calibri" w:eastAsia="Calibri" w:hAnsi="Calibri"/>
          <w:b/>
          <w:bCs/>
          <w:sz w:val="21"/>
          <w:szCs w:val="21"/>
        </w:rPr>
        <w:t xml:space="preserve">6. </w:t>
      </w:r>
      <w:r>
        <w:rPr>
          <w:rFonts w:ascii="Calibri" w:cs="Calibri" w:eastAsia="Calibri" w:hAnsi="Calibri"/>
          <w:sz w:val="21"/>
          <w:szCs w:val="21"/>
        </w:rPr>
        <w:t xml:space="preserve">Jeżeli Inwestor opóźnia się z płatnością wymagalnej kwoty, Wykonawca może wezwać Inwestora w formie dokumentowej do zapłaty i wyznaczyć dodatkowy termin nie krótszy niż 3 dni robocze. Po bezskutecznym upływie tego terminu Wykonawca może wstrzymać prace do czasu zapłaty, a termin wykonania ulega odpowiedniemu przesunięciu.</w:t>
      </w:r>
    </w:p>
    <w:p>
      <w:pPr>
        <w:spacing w:after="90"/>
        <w:ind w:left="420" w:hanging="420"/>
        <w:jc w:val="both"/>
      </w:pPr>
      <w:r>
        <w:rPr>
          <w:rFonts w:ascii="Calibri" w:cs="Calibri" w:eastAsia="Calibri" w:hAnsi="Calibri"/>
          <w:b/>
          <w:bCs/>
          <w:sz w:val="21"/>
          <w:szCs w:val="21"/>
        </w:rPr>
        <w:t xml:space="preserve">7. </w:t>
      </w:r>
      <w:r>
        <w:rPr>
          <w:rFonts w:ascii="Calibri" w:cs="Calibri" w:eastAsia="Calibri" w:hAnsi="Calibri"/>
          <w:sz w:val="21"/>
          <w:szCs w:val="21"/>
        </w:rPr>
        <w:t xml:space="preserve">Wstrzymanie prac z przyczyn określonych w ust. 6 nie wyłącza ustawowych praw Inwestora jako konsumenta i nie dotyczy sytuacji, w której Inwestor wstrzymuje zapłatę w zakresie dozwolonym prawem z powodu niewykonania lub nienależytego wykonania umowy przez Wykonawcę.</w:t>
      </w:r>
    </w:p>
    <w:p>
      <w:pPr>
        <w:spacing w:after="90"/>
        <w:ind w:left="420" w:hanging="420"/>
        <w:jc w:val="both"/>
      </w:pPr>
      <w:r>
        <w:rPr>
          <w:rFonts w:ascii="Calibri" w:cs="Calibri" w:eastAsia="Calibri" w:hAnsi="Calibri"/>
          <w:b/>
          <w:bCs/>
          <w:sz w:val="21"/>
          <w:szCs w:val="21"/>
        </w:rPr>
        <w:t xml:space="preserve">8. </w:t>
      </w:r>
      <w:r>
        <w:rPr>
          <w:rFonts w:ascii="Calibri" w:cs="Calibri" w:eastAsia="Calibri" w:hAnsi="Calibri"/>
          <w:sz w:val="21"/>
          <w:szCs w:val="21"/>
        </w:rPr>
        <w:t xml:space="preserve">Wykonawca wystawi rachunek albo fakturę zgodnie z obowiązującymi przepisami.</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8. Prace dodatkowe, zmiany zakresu i ukryte przeszkody</w:t>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Każda zmiana zakresu prac, materiałów, standardu lub terminu wymaga akceptacji obu Stron w Protokole Zmiany albo w formie dokumentowej. Akceptacja musi obejmować co najmniej opis zmiany, cenę brutto, termin płatności i wpływ na harmonogram.</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Wykonawca nie ma obowiązku wykonywania prac dodatkowych bez wcześniejszej akceptacji Inwestora, z zastrzeżeniem ust. 4.</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Prace dodatkowe wykonane bez wymaganej akceptacji nie stanowią podstawy do żądania dodatkowego wynagrodzenia, chyba że były konieczne do zapobieżenia szkodzie, a Wykonawca niezwłocznie poinformował Inwestora o ich wykonaniu i przyczynie pilności.</w:t>
      </w:r>
    </w:p>
    <w:p>
      <w:pPr>
        <w:spacing w:after="9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Jeżeli w trakcie prac ujawnią się okoliczności niemożliwe do stwierdzenia przy zawarciu umowy, w szczególności wady podłoża, wadliwe lub niezgodne z dokumentacją instalacje, zawilgocenie, zagrzybienie, brak wymaganych warstw, kolizje instalacyjne, elementy konstrukcyjne lub inne przeszkody techniczne, Wykonawca poinformuje Inwestora i wstrzyma prace w niezbędnym zakresie do czasu uzgodnienia dalszego postępowania, o ile kontynuacja prac mogłaby spowodować szkodę albo nienależyte wykonanie umowy.</w:t>
      </w:r>
    </w:p>
    <w:p>
      <w:pPr>
        <w:spacing w:after="90"/>
        <w:ind w:left="420" w:hanging="420"/>
        <w:jc w:val="both"/>
      </w:pPr>
      <w:r>
        <w:rPr>
          <w:rFonts w:ascii="Calibri" w:cs="Calibri" w:eastAsia="Calibri" w:hAnsi="Calibri"/>
          <w:b/>
          <w:bCs/>
          <w:sz w:val="21"/>
          <w:szCs w:val="21"/>
        </w:rPr>
        <w:t xml:space="preserve">5. </w:t>
      </w:r>
      <w:r>
        <w:rPr>
          <w:rFonts w:ascii="Calibri" w:cs="Calibri" w:eastAsia="Calibri" w:hAnsi="Calibri"/>
          <w:sz w:val="21"/>
          <w:szCs w:val="21"/>
        </w:rPr>
        <w:t xml:space="preserve">Dalsze prace wynikające z ujawnionych przeszkód wymagają uzgodnienia kosztów i ewentualnej zmiany terminu. Jeżeli Strony nie uzgodnią dalszego postępowania, każda ze Stron może skorzystać z uprawnień przewidzianych przepisami prawa i niniejszą umową.</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9. Obowiązki Wykonawcy, podwykonawcy, BHP i dokumentacja</w:t>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Wykonawca odpowiada za organizację i bezpieczeństwo w obrębie wykonywanych przez siebie prac oraz za zabezpieczenie miejsca prac w zakresie adekwatnym do rodzaju robót.</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Wykonawca może posługiwać się pracownikami, współpracownikami lub podwykonawcami, przy czym odpowiada za ich działania i zaniechania jak za własne, chyba że przepisy bezwzględnie obowiązujące stanowią inaczej.</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Wykonawca ma prawo sporządzać dokumentację zdjęciową lub wideo w celu udokumentowania stanu przed rozpoczęciem prac, przebiegu robót, robót zanikających, usterek, odbioru oraz ewentualnych roszczeń. Wykorzystanie zdjęć lub nagrań do celów marketingowych wymaga odrębnej, dobrowolnej zgody Inwestora.</w:t>
      </w:r>
    </w:p>
    <w:p>
      <w:pPr>
        <w:spacing w:after="12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Ubezpieczenie OC działalności Wykonawcy (zaznacz):</w:t>
      </w:r>
    </w:p>
    <w:p>
      <w:pPr>
        <w:spacing w:after="120"/>
        <w:ind w:left="180"/>
      </w:pPr>
      <w:r>
        <w:rPr>
          <w:rFonts w:ascii="Calibri" w:cs="Calibri" w:eastAsia="Calibri" w:hAnsi="Calibri"/>
          <w:sz w:val="21"/>
          <w:szCs w:val="21"/>
        </w:rPr>
        <w:t xml:space="preserve">[ ] TAK, suma ubezpieczenia:  ...................................  zł        [ ] NIE</w:t>
      </w:r>
    </w:p>
    <w:p>
      <w:pPr>
        <w:spacing w:after="90"/>
        <w:ind w:left="420" w:hanging="420"/>
        <w:jc w:val="both"/>
      </w:pPr>
      <w:r>
        <w:rPr>
          <w:rFonts w:ascii="Calibri" w:cs="Calibri" w:eastAsia="Calibri" w:hAnsi="Calibri"/>
          <w:b/>
          <w:bCs/>
          <w:sz w:val="21"/>
          <w:szCs w:val="21"/>
        </w:rPr>
        <w:t xml:space="preserve">5. </w:t>
      </w:r>
      <w:r>
        <w:rPr>
          <w:rFonts w:ascii="Calibri" w:cs="Calibri" w:eastAsia="Calibri" w:hAnsi="Calibri"/>
          <w:sz w:val="21"/>
          <w:szCs w:val="21"/>
        </w:rPr>
        <w:t xml:space="preserve">Jeżeli prace powodują konieczność czasowego wyłączenia mediów, hałas, zapylenie lub inne uciążliwości, Wykonawca i Inwestor uzgodnią sposób organizacji prac z uwzględnieniem regulaminu budynku i przepisów porządkowych.</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10. Odpady, gruz i ochrona mienia</w:t>
      </w:r>
    </w:p>
    <w:p>
      <w:pPr>
        <w:spacing w:after="12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Wywóz i utylizacja odpadów oraz gruzu powstałych w wyniku prac obciąża (zaznacz):</w:t>
      </w:r>
    </w:p>
    <w:p>
      <w:pPr>
        <w:spacing w:after="120"/>
        <w:ind w:left="180"/>
      </w:pPr>
      <w:r>
        <w:rPr>
          <w:rFonts w:ascii="Calibri" w:cs="Calibri" w:eastAsia="Calibri" w:hAnsi="Calibri"/>
          <w:sz w:val="21"/>
          <w:szCs w:val="21"/>
        </w:rPr>
        <w:t xml:space="preserve">[ ] Wykonawcę      [ ] Inwestora      [ ] według zasad opisanych w Załączniku nr 1</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Jeżeli Strony nie zaznaczą żadnej opcji, odpady powstałe z prac Wykonawcy usuwa Wykonawca w zakresie zwyczajowo związanym z wykonywanym zakresem prac, bez odpadów należących do Inwestora i bez odpadów niebezpiecznych ujawnionych w obiekcie, chyba że Strony uzgodnią inaczej.</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Inwestor przed rozpoczęciem prac zabezpieczy albo usunie rzeczy ruchome, wyposażenie i wartościowe przedmioty z miejsca prac, chyba że Strony wyraźnie uzgodnią inny zakres zabezpieczenia w Załączniku nr 1.</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11. Odbiór prac i usterki</w:t>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Po zakończeniu całości prac albo etapu przewidzianego do rozliczenia Wykonawca zgłasza gotowość do odbioru w formie dokumentowej.</w:t>
      </w:r>
    </w:p>
    <w:p>
      <w:pPr>
        <w:spacing w:after="14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Inwestor przystąpi do odbioru w terminie od zgłoszenia gotowości (jeżeli pola nie wypełniono, termin wynosi 3 dni robocze):</w:t>
      </w:r>
    </w:p>
    <w:p>
      <w:pPr>
        <w:tabs>
          <w:tab w:val="right" w:pos="9506" w:leader="dot"/>
        </w:tabs>
        <w:spacing w:after="480"/>
      </w:pPr>
      <w:r>
        <w:rPr>
          <w:rFonts w:ascii="Calibri" w:cs="Calibri" w:eastAsia="Calibri" w:hAnsi="Calibri"/>
          <w:sz w:val="21"/>
          <w:szCs w:val="21"/>
        </w:rPr>
        <w:t xml:space="preserve">Termin odbioru (dni robocze):  </w:t>
      </w:r>
      <w:r>
        <w:tab/>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Odbiór potwierdza Protokół Odbioru według Załącznika nr 3. W protokole Strony wskazują, czy prace odebrano bez zastrzeżeń, z zastrzeżeniami, czy odmówiono odbioru z podaniem przyczyn.</w:t>
      </w:r>
    </w:p>
    <w:p>
      <w:pPr>
        <w:spacing w:after="9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Usterki nieistotne, które nie uniemożliwiają normalnego korzystania z przedmiotu prac zgodnie z jego przeznaczeniem, nie stanowią podstawy do odmowy odbioru całości prac. Usterki takie wpisuje się do protokołu wraz z terminem ich usunięcia.</w:t>
      </w:r>
    </w:p>
    <w:p>
      <w:pPr>
        <w:spacing w:after="90"/>
        <w:ind w:left="420" w:hanging="420"/>
        <w:jc w:val="both"/>
      </w:pPr>
      <w:r>
        <w:rPr>
          <w:rFonts w:ascii="Calibri" w:cs="Calibri" w:eastAsia="Calibri" w:hAnsi="Calibri"/>
          <w:b/>
          <w:bCs/>
          <w:sz w:val="21"/>
          <w:szCs w:val="21"/>
        </w:rPr>
        <w:t xml:space="preserve">5. </w:t>
      </w:r>
      <w:r>
        <w:rPr>
          <w:rFonts w:ascii="Calibri" w:cs="Calibri" w:eastAsia="Calibri" w:hAnsi="Calibri"/>
          <w:sz w:val="21"/>
          <w:szCs w:val="21"/>
        </w:rPr>
        <w:t xml:space="preserve">Jeżeli usterki nieistotne nie zostaną usunięte w terminie wskazanym w protokole, Inwestor może wstrzymać zapłatę odpowiedniej i proporcjonalnej części wynagrodzenia, nie wyższej niż uzasadniony koszt usunięcia tych usterek.</w:t>
      </w:r>
    </w:p>
    <w:p>
      <w:pPr>
        <w:spacing w:after="90"/>
        <w:ind w:left="420" w:hanging="420"/>
        <w:jc w:val="both"/>
      </w:pPr>
      <w:r>
        <w:rPr>
          <w:rFonts w:ascii="Calibri" w:cs="Calibri" w:eastAsia="Calibri" w:hAnsi="Calibri"/>
          <w:b/>
          <w:bCs/>
          <w:sz w:val="21"/>
          <w:szCs w:val="21"/>
        </w:rPr>
        <w:t xml:space="preserve">6. </w:t>
      </w:r>
      <w:r>
        <w:rPr>
          <w:rFonts w:ascii="Calibri" w:cs="Calibri" w:eastAsia="Calibri" w:hAnsi="Calibri"/>
          <w:sz w:val="21"/>
          <w:szCs w:val="21"/>
        </w:rPr>
        <w:t xml:space="preserve">Wady istotne, które uniemożliwiają normalne korzystanie z przedmiotu prac albo powodują, że prace są wykonane sprzecznie z umową w istotnym zakresie, mogą uzasadniać odmowę odbioru do czasu ich usunięcia, z zachowaniem uprawnień Inwestora wynikających z przepisów prawa.</w:t>
      </w:r>
    </w:p>
    <w:p>
      <w:pPr>
        <w:spacing w:after="90"/>
        <w:ind w:left="420" w:hanging="420"/>
        <w:jc w:val="both"/>
      </w:pPr>
      <w:r>
        <w:rPr>
          <w:rFonts w:ascii="Calibri" w:cs="Calibri" w:eastAsia="Calibri" w:hAnsi="Calibri"/>
          <w:b/>
          <w:bCs/>
          <w:sz w:val="21"/>
          <w:szCs w:val="21"/>
        </w:rPr>
        <w:t xml:space="preserve">7. </w:t>
      </w:r>
      <w:r>
        <w:rPr>
          <w:rFonts w:ascii="Calibri" w:cs="Calibri" w:eastAsia="Calibri" w:hAnsi="Calibri"/>
          <w:sz w:val="21"/>
          <w:szCs w:val="21"/>
        </w:rPr>
        <w:t xml:space="preserve">Jeżeli Inwestor mimo prawidłowego zawiadomienia bez uzasadnionej przyczyny nie przystąpi do odbioru, Wykonawca może sporządzić protokół jednostronny dokumentujący stan prac, datę zgłoszenia gotowości i ewentualną dokumentację zdjęciową. Protokół jednostronny należy przekazać Inwestorowi na trwałym nośniku. Protokół jednostronny nie pozbawia Inwestora prawa do zgłaszania wad, usterek, reklamacji ani roszczeń z rękojmi lub gwarancji.</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12. Rękojmia, gwarancja i reklamacje</w:t>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Wykonawca ponosi odpowiedzialność z tytułu rękojmi za wady zgodnie z przepisami Kodeksu cywilnego. Wobec Inwestora będącego konsumentem niniejsza umowa nie wyłącza ani nie ogranicza uprawnień ustawowych z rękojmi.</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Jeżeli wada wynika z właściwości materiału dostarczonego przez Inwestora, Wykonawca nie ponosi odpowiedzialności w zakresie, w jakim wada powstała z tej przyczyny, o ile Wykonawca nie wiedział i przy zachowaniu należytej staranności nie mógł wiedzieć o nieprzydatności materiału albo poinformował Inwestora o ryzyku jego użycia.</w:t>
      </w:r>
    </w:p>
    <w:p>
      <w:pPr>
        <w:spacing w:after="14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Gwarancja jest dobrowolna. Wykonawca udziela gwarancji jakości wyłącznie wtedy, gdy poniżej wpisano okres gwarancji albo wydano odrębny dokument gwarancyjny. Jeżeli nie wpisano okresu, gwarancja nie jest udzielana, co nie ogranicza rękojmi.</w:t>
      </w:r>
    </w:p>
    <w:p>
      <w:pPr>
        <w:tabs>
          <w:tab w:val="right" w:pos="9506" w:leader="dot"/>
        </w:tabs>
        <w:spacing w:after="480"/>
      </w:pPr>
      <w:r>
        <w:rPr>
          <w:rFonts w:ascii="Calibri" w:cs="Calibri" w:eastAsia="Calibri" w:hAnsi="Calibri"/>
          <w:sz w:val="21"/>
          <w:szCs w:val="21"/>
        </w:rPr>
        <w:t xml:space="preserve">Okres gwarancji (miesiące od dnia odbioru):  </w:t>
      </w:r>
      <w:r>
        <w:tab/>
      </w:r>
    </w:p>
    <w:p>
      <w:pPr>
        <w:spacing w:after="9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Gwarancja, jeżeli została udzielona, nie ogranicza, nie zawiesza ani nie wyłącza uprawnień Inwestora wynikających z rękojmi.</w:t>
      </w:r>
    </w:p>
    <w:p>
      <w:pPr>
        <w:spacing w:after="90"/>
        <w:ind w:left="420" w:hanging="420"/>
        <w:jc w:val="both"/>
      </w:pPr>
      <w:r>
        <w:rPr>
          <w:rFonts w:ascii="Calibri" w:cs="Calibri" w:eastAsia="Calibri" w:hAnsi="Calibri"/>
          <w:b/>
          <w:bCs/>
          <w:sz w:val="21"/>
          <w:szCs w:val="21"/>
        </w:rPr>
        <w:t xml:space="preserve">5. </w:t>
      </w:r>
      <w:r>
        <w:rPr>
          <w:rFonts w:ascii="Calibri" w:cs="Calibri" w:eastAsia="Calibri" w:hAnsi="Calibri"/>
          <w:sz w:val="21"/>
          <w:szCs w:val="21"/>
        </w:rPr>
        <w:t xml:space="preserve">Reklamacje można składać w formie dokumentowej na adres e-mail Wykonawcy wskazany w § 1 albo pisemnie na adres Wykonawcy. Reklamacja powinna zawierać opis zastrzeżeń, żądanie Inwestora oraz, w miarę możliwości, zdjęcia lub inne dowody.</w:t>
      </w:r>
    </w:p>
    <w:p>
      <w:pPr>
        <w:spacing w:after="90"/>
        <w:ind w:left="420" w:hanging="420"/>
        <w:jc w:val="both"/>
      </w:pPr>
      <w:r>
        <w:rPr>
          <w:rFonts w:ascii="Calibri" w:cs="Calibri" w:eastAsia="Calibri" w:hAnsi="Calibri"/>
          <w:b/>
          <w:bCs/>
          <w:sz w:val="21"/>
          <w:szCs w:val="21"/>
        </w:rPr>
        <w:t xml:space="preserve">6. </w:t>
      </w:r>
      <w:r>
        <w:rPr>
          <w:rFonts w:ascii="Calibri" w:cs="Calibri" w:eastAsia="Calibri" w:hAnsi="Calibri"/>
          <w:sz w:val="21"/>
          <w:szCs w:val="21"/>
        </w:rPr>
        <w:t xml:space="preserve">Wykonawca udzieli odpowiedzi na reklamację konsumenta w terminie 14 dni od dnia jej otrzymania. Brak odpowiedzi w tym terminie wywołuje skutki przewidziane przepisami prawa.</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13. Kary umowne i odpowiedzialność za opóźnienia</w:t>
      </w:r>
    </w:p>
    <w:p>
      <w:pPr>
        <w:spacing w:after="14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Strony mogą zastrzec kary umowne za zwłokę, tj. opóźnienie zawinione przez daną Stronę. Jeżeli pola poniżej nie zostaną wypełnione, Strony uznają, że kary umowne nie zostały zastrzeżone.</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5300"/>
        <w:gridCol w:w="4206"/>
      </w:tblGrid>
      <w:tr>
        <w:tc>
          <w:tcPr>
            <w:tcW w:type="dxa" w:w="5300"/>
            <w:tcMar>
              <w:top w:type="dxa" w:w="130"/>
              <w:left w:type="dxa" w:w="90"/>
              <w:bottom w:type="dxa" w:w="130"/>
              <w:right w:type="dxa" w:w="90"/>
            </w:tcMar>
          </w:tcPr>
          <w:p>
            <w:r>
              <w:rPr>
                <w:rFonts w:ascii="Calibri" w:cs="Calibri" w:eastAsia="Calibri" w:hAnsi="Calibri"/>
                <w:b/>
                <w:bCs/>
                <w:i w:val="false"/>
                <w:iCs w:val="false"/>
                <w:sz w:val="19"/>
                <w:szCs w:val="19"/>
              </w:rPr>
              <w:t xml:space="preserve">Kara za zwłokę Wykonawcy w zakończeniu prac</w:t>
            </w:r>
          </w:p>
        </w:tc>
        <w:tc>
          <w:tcPr>
            <w:tcW w:type="dxa" w:w="4206"/>
            <w:tcMar>
              <w:top w:type="dxa" w:w="130"/>
              <w:left w:type="dxa" w:w="90"/>
              <w:bottom w:type="dxa" w:w="130"/>
              <w:right w:type="dxa" w:w="90"/>
            </w:tcMar>
          </w:tcPr>
          <w:p>
            <w:pPr>
              <w:tabs>
                <w:tab w:val="right" w:pos="4000" w:leader="dot"/>
              </w:tabs>
            </w:pPr>
            <w:r>
              <w:tab/>
            </w:r>
            <w:r>
              <w:rPr>
                <w:rFonts w:ascii="Calibri" w:cs="Calibri" w:eastAsia="Calibri" w:hAnsi="Calibri"/>
                <w:b w:val="false"/>
                <w:bCs w:val="false"/>
                <w:i w:val="false"/>
                <w:iCs w:val="false"/>
                <w:sz w:val="19"/>
                <w:szCs w:val="19"/>
              </w:rPr>
              <w:t xml:space="preserve"> % / dzień</w:t>
            </w:r>
          </w:p>
        </w:tc>
      </w:tr>
      <w:tr>
        <w:tc>
          <w:tcPr>
            <w:tcW w:type="dxa" w:w="5300"/>
            <w:tcMar>
              <w:top w:type="dxa" w:w="130"/>
              <w:left w:type="dxa" w:w="90"/>
              <w:bottom w:type="dxa" w:w="130"/>
              <w:right w:type="dxa" w:w="90"/>
            </w:tcMar>
          </w:tcPr>
          <w:p>
            <w:r>
              <w:rPr>
                <w:rFonts w:ascii="Calibri" w:cs="Calibri" w:eastAsia="Calibri" w:hAnsi="Calibri"/>
                <w:b/>
                <w:bCs/>
                <w:i w:val="false"/>
                <w:iCs w:val="false"/>
                <w:sz w:val="19"/>
                <w:szCs w:val="19"/>
              </w:rPr>
              <w:t xml:space="preserve">Maksymalna kara po stronie Wykonawcy</w:t>
            </w:r>
          </w:p>
        </w:tc>
        <w:tc>
          <w:tcPr>
            <w:tcW w:type="dxa" w:w="4206"/>
            <w:tcMar>
              <w:top w:type="dxa" w:w="130"/>
              <w:left w:type="dxa" w:w="90"/>
              <w:bottom w:type="dxa" w:w="130"/>
              <w:right w:type="dxa" w:w="90"/>
            </w:tcMar>
          </w:tcPr>
          <w:p>
            <w:pPr>
              <w:tabs>
                <w:tab w:val="right" w:pos="4000" w:leader="dot"/>
              </w:tabs>
            </w:pPr>
            <w:r>
              <w:tab/>
            </w:r>
            <w:r>
              <w:rPr>
                <w:rFonts w:ascii="Calibri" w:cs="Calibri" w:eastAsia="Calibri" w:hAnsi="Calibri"/>
                <w:b w:val="false"/>
                <w:bCs w:val="false"/>
                <w:i w:val="false"/>
                <w:iCs w:val="false"/>
                <w:sz w:val="19"/>
                <w:szCs w:val="19"/>
              </w:rPr>
              <w:t xml:space="preserve"> % wartości umowy</w:t>
            </w:r>
          </w:p>
        </w:tc>
      </w:tr>
      <w:tr>
        <w:tc>
          <w:tcPr>
            <w:tcW w:type="dxa" w:w="5300"/>
            <w:tcMar>
              <w:top w:type="dxa" w:w="130"/>
              <w:left w:type="dxa" w:w="90"/>
              <w:bottom w:type="dxa" w:w="130"/>
              <w:right w:type="dxa" w:w="90"/>
            </w:tcMar>
          </w:tcPr>
          <w:p>
            <w:r>
              <w:rPr>
                <w:rFonts w:ascii="Calibri" w:cs="Calibri" w:eastAsia="Calibri" w:hAnsi="Calibri"/>
                <w:b/>
                <w:bCs/>
                <w:i w:val="false"/>
                <w:iCs w:val="false"/>
                <w:sz w:val="19"/>
                <w:szCs w:val="19"/>
              </w:rPr>
              <w:t xml:space="preserve">Kara za zwłokę Inwestora (front robót / materiały / zgody)</w:t>
            </w:r>
          </w:p>
        </w:tc>
        <w:tc>
          <w:tcPr>
            <w:tcW w:type="dxa" w:w="4206"/>
            <w:tcMar>
              <w:top w:type="dxa" w:w="130"/>
              <w:left w:type="dxa" w:w="90"/>
              <w:bottom w:type="dxa" w:w="130"/>
              <w:right w:type="dxa" w:w="90"/>
            </w:tcMar>
          </w:tcPr>
          <w:p>
            <w:pPr>
              <w:tabs>
                <w:tab w:val="right" w:pos="4000" w:leader="dot"/>
              </w:tabs>
            </w:pPr>
            <w:r>
              <w:tab/>
            </w:r>
            <w:r>
              <w:rPr>
                <w:rFonts w:ascii="Calibri" w:cs="Calibri" w:eastAsia="Calibri" w:hAnsi="Calibri"/>
                <w:b w:val="false"/>
                <w:bCs w:val="false"/>
                <w:i w:val="false"/>
                <w:iCs w:val="false"/>
                <w:sz w:val="19"/>
                <w:szCs w:val="19"/>
              </w:rPr>
              <w:t xml:space="preserve"> % / dzień</w:t>
            </w:r>
          </w:p>
        </w:tc>
      </w:tr>
      <w:tr>
        <w:tc>
          <w:tcPr>
            <w:tcW w:type="dxa" w:w="5300"/>
            <w:tcMar>
              <w:top w:type="dxa" w:w="130"/>
              <w:left w:type="dxa" w:w="90"/>
              <w:bottom w:type="dxa" w:w="130"/>
              <w:right w:type="dxa" w:w="90"/>
            </w:tcMar>
          </w:tcPr>
          <w:p>
            <w:r>
              <w:rPr>
                <w:rFonts w:ascii="Calibri" w:cs="Calibri" w:eastAsia="Calibri" w:hAnsi="Calibri"/>
                <w:b/>
                <w:bCs/>
                <w:i w:val="false"/>
                <w:iCs w:val="false"/>
                <w:sz w:val="19"/>
                <w:szCs w:val="19"/>
              </w:rPr>
              <w:t xml:space="preserve">Maksymalna kara po stronie Inwestora</w:t>
            </w:r>
          </w:p>
        </w:tc>
        <w:tc>
          <w:tcPr>
            <w:tcW w:type="dxa" w:w="4206"/>
            <w:tcMar>
              <w:top w:type="dxa" w:w="130"/>
              <w:left w:type="dxa" w:w="90"/>
              <w:bottom w:type="dxa" w:w="130"/>
              <w:right w:type="dxa" w:w="90"/>
            </w:tcMar>
          </w:tcPr>
          <w:p>
            <w:pPr>
              <w:tabs>
                <w:tab w:val="right" w:pos="4000" w:leader="dot"/>
              </w:tabs>
            </w:pPr>
            <w:r>
              <w:tab/>
            </w:r>
            <w:r>
              <w:rPr>
                <w:rFonts w:ascii="Calibri" w:cs="Calibri" w:eastAsia="Calibri" w:hAnsi="Calibri"/>
                <w:b w:val="false"/>
                <w:bCs w:val="false"/>
                <w:i w:val="false"/>
                <w:iCs w:val="false"/>
                <w:sz w:val="19"/>
                <w:szCs w:val="19"/>
              </w:rPr>
              <w:t xml:space="preserve"> % wartości umowy</w:t>
            </w:r>
          </w:p>
        </w:tc>
      </w:tr>
      <w:tr>
        <w:tc>
          <w:tcPr>
            <w:tcW w:type="dxa" w:w="5300"/>
            <w:tcMar>
              <w:top w:type="dxa" w:w="130"/>
              <w:left w:type="dxa" w:w="90"/>
              <w:bottom w:type="dxa" w:w="130"/>
              <w:right w:type="dxa" w:w="90"/>
            </w:tcMar>
          </w:tcPr>
          <w:p>
            <w:r>
              <w:rPr>
                <w:rFonts w:ascii="Calibri" w:cs="Calibri" w:eastAsia="Calibri" w:hAnsi="Calibri"/>
                <w:b/>
                <w:bCs/>
                <w:i w:val="false"/>
                <w:iCs w:val="false"/>
                <w:sz w:val="19"/>
                <w:szCs w:val="19"/>
              </w:rPr>
              <w:t xml:space="preserve">Inne uzgodnienia</w:t>
            </w:r>
          </w:p>
        </w:tc>
        <w:tc>
          <w:tcPr>
            <w:tcW w:type="dxa" w:w="4206"/>
            <w:tcMar>
              <w:top w:type="dxa" w:w="130"/>
              <w:left w:type="dxa" w:w="90"/>
              <w:bottom w:type="dxa" w:w="130"/>
              <w:right w:type="dxa" w:w="90"/>
            </w:tcMar>
          </w:tcPr>
          <w:p>
            <w:pPr>
              <w:tabs>
                <w:tab w:val="right" w:pos="3946" w:leader="dot"/>
              </w:tabs>
              <w:spacing w:after="170"/>
            </w:pPr>
            <w:r>
              <w:tab/>
            </w:r>
          </w:p>
        </w:tc>
      </w:tr>
    </w:tbl>
    <w:p>
      <w:pPr>
        <w:spacing w:after="160"/>
      </w:pP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Kary umowne nie wyłączają uprawnień konsumenta wynikających z przepisów bezwzględnie obowiązujących.</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Jeżeli szkoda przewyższa zastrzeżoną karę umowną, Strona może dochodzić odszkodowania uzupełniającego na zasadach ogólnych, o ile Strony nie postanowią inaczej w sposób zgodny z prawem.</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14. Siła wyższa</w:t>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Żadna ze Stron nie ponosi odpowiedzialności za niewykonanie lub nienależyte wykonanie umowy w zakresie, w jakim zostało ono spowodowane siłą wyższą, tj. zdarzeniem zewnętrznym, niemożliwym do przewidzenia i zapobieżenia mimo zachowania należytej staranności, niezależnym od Stron.</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Strona dotknięta siłą wyższą niezwłocznie zawiadomi drugą Stronę o jej wystąpieniu i przewidywanym wpływie na wykonanie umowy. Terminy ulegają przedłużeniu o czas trwania przeszkody oraz czas technicznie konieczny do wznowienia prac.</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15. Odstąpienie, wypowiedzenie i rozliczenie</w:t>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Jeżeli umowa została zawarta na odległość albo poza lokalem przedsiębiorstwa, Inwestor może odstąpić od umowy bez podania przyczyny w terminie 14 dni od dnia zawarcia umowy.</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Jeżeli umowa została zawarta poza lokalem przedsiębiorstwa podczas nieumówionej wizyty Wykonawcy w miejscu zamieszkania lub zwykłego pobytu Inwestora albo podczas wycieczki, termin odstąpienia wynosi 30 dni od dnia zawarcia umowy.</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Do zachowania terminu wystarczy wysłanie oświadczenia o odstąpieniu przed jego upływem. Wzór formularza stanowi Załącznik nr 4, ale skorzystanie z formularza nie jest obowiązkowe.</w:t>
      </w:r>
    </w:p>
    <w:p>
      <w:pPr>
        <w:spacing w:after="9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Jeżeli Wykonawca nie poinformuje Inwestora o prawie odstąpienia, termin wygaśnięcia tego prawa oraz skutki braku informacji określają przepisy ustawy o prawach konsumenta.</w:t>
      </w:r>
    </w:p>
    <w:p>
      <w:pPr>
        <w:spacing w:after="90"/>
        <w:ind w:left="420" w:hanging="420"/>
        <w:jc w:val="both"/>
      </w:pPr>
      <w:r>
        <w:rPr>
          <w:rFonts w:ascii="Calibri" w:cs="Calibri" w:eastAsia="Calibri" w:hAnsi="Calibri"/>
          <w:b/>
          <w:bCs/>
          <w:sz w:val="21"/>
          <w:szCs w:val="21"/>
        </w:rPr>
        <w:t xml:space="preserve">5. </w:t>
      </w:r>
      <w:r>
        <w:rPr>
          <w:rFonts w:ascii="Calibri" w:cs="Calibri" w:eastAsia="Calibri" w:hAnsi="Calibri"/>
          <w:sz w:val="21"/>
          <w:szCs w:val="21"/>
        </w:rPr>
        <w:t xml:space="preserve">Jeżeli Inwestor żąda rozpoczęcia wykonywania usługi przed upływem właściwego terminu do odstąpienia, powinien złożyć wyraźne żądanie na trwałym nośniku oraz potwierdzić, że został poinformowany o obowiązku zapłaty za świadczenie spełnione do chwili odstąpienia i o utracie prawa odstąpienia po pełnym wykonaniu usługi.</w:t>
      </w:r>
    </w:p>
    <w:p>
      <w:pPr>
        <w:spacing w:after="90"/>
        <w:ind w:left="420" w:hanging="420"/>
        <w:jc w:val="both"/>
      </w:pPr>
      <w:r>
        <w:rPr>
          <w:rFonts w:ascii="Calibri" w:cs="Calibri" w:eastAsia="Calibri" w:hAnsi="Calibri"/>
          <w:b/>
          <w:bCs/>
          <w:sz w:val="21"/>
          <w:szCs w:val="21"/>
        </w:rPr>
        <w:t xml:space="preserve">6. </w:t>
      </w:r>
      <w:r>
        <w:rPr>
          <w:rFonts w:ascii="Calibri" w:cs="Calibri" w:eastAsia="Calibri" w:hAnsi="Calibri"/>
          <w:sz w:val="21"/>
          <w:szCs w:val="21"/>
        </w:rPr>
        <w:t xml:space="preserve">W razie odstąpienia po rozpoczęciu usługi na wyraźne żądanie Inwestora, Inwestor ma obowiązek zapłaty kwoty proporcjonalnej do zakresu świadczenia spełnionego do chwili odstąpienia, obliczonej według ceny uzgodnionej w umowie, a jeżeli cena jest nadmierna — według wartości rynkowej spełnionego świadczenia.</w:t>
      </w:r>
    </w:p>
    <w:p>
      <w:pPr>
        <w:spacing w:after="90"/>
        <w:ind w:left="420" w:hanging="420"/>
        <w:jc w:val="both"/>
      </w:pPr>
      <w:r>
        <w:rPr>
          <w:rFonts w:ascii="Calibri" w:cs="Calibri" w:eastAsia="Calibri" w:hAnsi="Calibri"/>
          <w:b/>
          <w:bCs/>
          <w:sz w:val="21"/>
          <w:szCs w:val="21"/>
        </w:rPr>
        <w:t xml:space="preserve">7. </w:t>
      </w:r>
      <w:r>
        <w:rPr>
          <w:rFonts w:ascii="Calibri" w:cs="Calibri" w:eastAsia="Calibri" w:hAnsi="Calibri"/>
          <w:sz w:val="21"/>
          <w:szCs w:val="21"/>
        </w:rPr>
        <w:t xml:space="preserve">Jeżeli usługa, za którą Inwestor jest zobowiązany do zapłaty, zostanie w pełni wykonana za wyraźną i uprzednią zgodą Inwestora przed upływem terminu do odstąpienia, a Inwestor został przed rozpoczęciem świadczenia poinformowany, że po pełnym wykonaniu usługi utraci prawo odstąpienia i przyjął to do wiadomości, Inwestor traci ustawowe prawo odstąpienia od umowy.</w:t>
      </w:r>
    </w:p>
    <w:p>
      <w:pPr>
        <w:spacing w:after="90"/>
        <w:ind w:left="420" w:hanging="420"/>
        <w:jc w:val="both"/>
      </w:pPr>
      <w:r>
        <w:rPr>
          <w:rFonts w:ascii="Calibri" w:cs="Calibri" w:eastAsia="Calibri" w:hAnsi="Calibri"/>
          <w:b/>
          <w:bCs/>
          <w:sz w:val="21"/>
          <w:szCs w:val="21"/>
        </w:rPr>
        <w:t xml:space="preserve">8. </w:t>
      </w:r>
      <w:r>
        <w:rPr>
          <w:rFonts w:ascii="Calibri" w:cs="Calibri" w:eastAsia="Calibri" w:hAnsi="Calibri"/>
          <w:sz w:val="21"/>
          <w:szCs w:val="21"/>
        </w:rPr>
        <w:t xml:space="preserve">Prawo odstąpienia nie przysługuje w zakresie, w jakim Inwestor wyraźnie żądał przyjazdu Wykonawcy w celu dokonania pilnej naprawy lub konserwacji; jeżeli Wykonawca świadczy dodatkowo inne usługi albo dostarcza rzeczy inne niż części zamienne niezbędne do tej pilnej naprawy lub konserwacji, prawo odstąpienia przysługuje w odniesieniu do tych dodatkowych usług lub rzeczy, zgodnie z przepisami prawa.</w:t>
      </w:r>
    </w:p>
    <w:p>
      <w:pPr>
        <w:spacing w:after="90"/>
        <w:ind w:left="420" w:hanging="420"/>
        <w:jc w:val="both"/>
      </w:pPr>
      <w:r>
        <w:rPr>
          <w:rFonts w:ascii="Calibri" w:cs="Calibri" w:eastAsia="Calibri" w:hAnsi="Calibri"/>
          <w:b/>
          <w:bCs/>
          <w:sz w:val="21"/>
          <w:szCs w:val="21"/>
        </w:rPr>
        <w:t xml:space="preserve">9. </w:t>
      </w:r>
      <w:r>
        <w:rPr>
          <w:rFonts w:ascii="Calibri" w:cs="Calibri" w:eastAsia="Calibri" w:hAnsi="Calibri"/>
          <w:sz w:val="21"/>
          <w:szCs w:val="21"/>
        </w:rPr>
        <w:t xml:space="preserve">Niezależnie od uprawnień konsumenckich, każda ze Stron może odstąpić od umowy albo ją wypowiedzieć z ważnych przyczyn przewidzianych przepisami prawa lub umową, w szczególności: Inwestor — gdy Wykonawca wykonuje prace wadliwie albo sprzecznie z umową mimo wezwania i wyznaczenia odpowiedniego terminu; Wykonawca — gdy Inwestor nie współdziała przy wykonaniu umowy, nie zapewnia frontu robót albo pozostaje w zwłoce z płatnością mimo wezwania i wyznaczenia dodatkowego terminu.</w:t>
      </w:r>
    </w:p>
    <w:p>
      <w:pPr>
        <w:spacing w:after="90"/>
        <w:ind w:left="420" w:hanging="420"/>
        <w:jc w:val="both"/>
      </w:pPr>
      <w:r>
        <w:rPr>
          <w:rFonts w:ascii="Calibri" w:cs="Calibri" w:eastAsia="Calibri" w:hAnsi="Calibri"/>
          <w:b/>
          <w:bCs/>
          <w:sz w:val="21"/>
          <w:szCs w:val="21"/>
        </w:rPr>
        <w:t xml:space="preserve">10. </w:t>
      </w:r>
      <w:r>
        <w:rPr>
          <w:rFonts w:ascii="Calibri" w:cs="Calibri" w:eastAsia="Calibri" w:hAnsi="Calibri"/>
          <w:sz w:val="21"/>
          <w:szCs w:val="21"/>
        </w:rPr>
        <w:t xml:space="preserve">W razie zakończenia umowy przed wykonaniem całości prac Strony rozliczą prace faktycznie i prawidłowo wykonane do dnia zakończenia umowy, z uwzględnieniem przepisów bezwzględnie obowiązujących i praw konsumenta.</w:t>
      </w:r>
    </w:p>
    <w:p>
      <w:pPr>
        <w:pBdr>
          <w:top w:val="single" w:color="BFBFBF" w:sz="6" w:space="6"/>
          <w:bottom w:val="single" w:color="BFBFBF" w:sz="6" w:space="6"/>
          <w:left w:val="single" w:color="BFBFBF" w:sz="6" w:space="6"/>
          <w:right w:val="single" w:color="BFBFBF" w:sz="6" w:space="6"/>
        </w:pBdr>
        <w:spacing w:after="120" w:before="80"/>
      </w:pPr>
      <w:r>
        <w:rPr>
          <w:rFonts w:ascii="Calibri" w:cs="Calibri" w:eastAsia="Calibri" w:hAnsi="Calibri"/>
          <w:b/>
          <w:bCs/>
          <w:i w:val="false"/>
          <w:iCs w:val="false"/>
          <w:color w:val="1F3864"/>
          <w:sz w:val="21"/>
          <w:szCs w:val="21"/>
        </w:rPr>
        <w:t xml:space="preserve">Oświadczenie Inwestora o rozpoczęciu prac przed upływem terminu odstąpienia</w:t>
      </w:r>
    </w:p>
    <w:p>
      <w:pPr>
        <w:spacing w:after="120"/>
        <w:jc w:val="both"/>
      </w:pPr>
      <w:r>
        <w:rPr>
          <w:rFonts w:ascii="Calibri" w:cs="Calibri" w:eastAsia="Calibri" w:hAnsi="Calibri"/>
          <w:b w:val="false"/>
          <w:bCs w:val="false"/>
          <w:i/>
          <w:iCs/>
          <w:color w:val="595959"/>
          <w:sz w:val="21"/>
          <w:szCs w:val="21"/>
        </w:rPr>
        <w:t xml:space="preserve">Wypełnić tylko wtedy, gdy umowa została zawarta na odległość albo poza lokalem przedsiębiorstwa i Inwestor chce rozpoczęcia prac przed końcem terminu odstąpienia.</w:t>
      </w:r>
    </w:p>
    <w:p>
      <w:pPr>
        <w:spacing w:after="180"/>
        <w:jc w:val="both"/>
      </w:pPr>
      <w:r>
        <w:rPr>
          <w:rFonts w:ascii="Calibri" w:cs="Calibri" w:eastAsia="Calibri" w:hAnsi="Calibri"/>
          <w:b w:val="false"/>
          <w:bCs w:val="false"/>
          <w:i w:val="false"/>
          <w:iCs w:val="false"/>
          <w:sz w:val="21"/>
          <w:szCs w:val="21"/>
        </w:rPr>
        <w:t xml:space="preserve">Ja, niżej podpisany/a, wyraźnie żądam rozpoczęcia wykonywania usługi przed upływem właściwego terminu do odstąpienia od umowy. Przyjmuję do wiadomości, że w razie odstąpienia przed pełnym wykonaniem usługi będę zobowiązany/a do zapłaty za świadczenie spełnione do chwili odstąpienia, proporcjonalnie do zakresu wykonanych prac, a po pełnym wykonaniu usługi za moją wyraźną i uprzednią zgodą utracę ustawowe prawo odstąpienia od umowy.</w:t>
      </w:r>
    </w:p>
    <w:p>
      <w:pPr>
        <w:tabs>
          <w:tab w:val="right" w:pos="9506" w:leader="dot"/>
        </w:tabs>
        <w:spacing w:after="120"/>
      </w:pPr>
      <w:r>
        <w:tab/>
      </w:r>
    </w:p>
    <w:p>
      <w:pPr>
        <w:spacing w:after="120"/>
        <w:jc w:val="left"/>
      </w:pPr>
      <w:r>
        <w:rPr>
          <w:rFonts w:ascii="Calibri" w:cs="Calibri" w:eastAsia="Calibri" w:hAnsi="Calibri"/>
          <w:b w:val="false"/>
          <w:bCs w:val="false"/>
          <w:i/>
          <w:iCs/>
          <w:color w:val="595959"/>
          <w:sz w:val="21"/>
          <w:szCs w:val="21"/>
        </w:rPr>
        <w:t xml:space="preserve">(data i czytelny podpis Inwestora)</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16. Ochrona danych osobowych (RODO)</w:t>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Administratorem danych osobowych Inwestora jest Wykonawca wskazany w § 1.</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Dane są przetwarzane w celu zawarcia i wykonania umowy, wykonania obowiązków prawnych Wykonawcy, w szczególności podatkowych i rachunkowych, a także w celu ustalenia, dochodzenia lub obrony roszczeń.</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Zakres danych powinien być adekwatny i ograniczony do danych niezbędnych do zawarcia i wykonania umowy. PESEL należy pobierać tylko wtedy, gdy jest to rzeczywiście potrzebne, np. do jednoznacznej identyfikacji Strony lub dochodzenia roszczeń.</w:t>
      </w:r>
    </w:p>
    <w:p>
      <w:pPr>
        <w:spacing w:after="9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Odbiorcami danych mogą być podmioty świadczące na rzecz Wykonawcy usługi księgowe, prawne, informatyczne, ubezpieczeniowe, transportowe oraz podwykonawcy, jeżeli jest to niezbędne do wykonania umowy lub obowiązków prawnych.</w:t>
      </w:r>
    </w:p>
    <w:p>
      <w:pPr>
        <w:spacing w:after="90"/>
        <w:ind w:left="420" w:hanging="420"/>
        <w:jc w:val="both"/>
      </w:pPr>
      <w:r>
        <w:rPr>
          <w:rFonts w:ascii="Calibri" w:cs="Calibri" w:eastAsia="Calibri" w:hAnsi="Calibri"/>
          <w:b/>
          <w:bCs/>
          <w:sz w:val="21"/>
          <w:szCs w:val="21"/>
        </w:rPr>
        <w:t xml:space="preserve">5. </w:t>
      </w:r>
      <w:r>
        <w:rPr>
          <w:rFonts w:ascii="Calibri" w:cs="Calibri" w:eastAsia="Calibri" w:hAnsi="Calibri"/>
          <w:sz w:val="21"/>
          <w:szCs w:val="21"/>
        </w:rPr>
        <w:t xml:space="preserve">Dane będą przechowywane przez okres wykonania umowy, a następnie przez okres wymagany przepisami prawa oraz okres przedawnienia ewentualnych roszczeń.</w:t>
      </w:r>
    </w:p>
    <w:p>
      <w:pPr>
        <w:spacing w:after="90"/>
        <w:ind w:left="420" w:hanging="420"/>
        <w:jc w:val="both"/>
      </w:pPr>
      <w:r>
        <w:rPr>
          <w:rFonts w:ascii="Calibri" w:cs="Calibri" w:eastAsia="Calibri" w:hAnsi="Calibri"/>
          <w:b/>
          <w:bCs/>
          <w:sz w:val="21"/>
          <w:szCs w:val="21"/>
        </w:rPr>
        <w:t xml:space="preserve">6. </w:t>
      </w:r>
      <w:r>
        <w:rPr>
          <w:rFonts w:ascii="Calibri" w:cs="Calibri" w:eastAsia="Calibri" w:hAnsi="Calibri"/>
          <w:sz w:val="21"/>
          <w:szCs w:val="21"/>
        </w:rPr>
        <w:t xml:space="preserve">Inwestorowi przysługuje prawo dostępu do danych, ich sprostowania, usunięcia lub ograniczenia przetwarzania, prawo do przenoszenia danych, prawo sprzeciwu oraz prawo wniesienia skargi do Prezesa Urzędu Ochrony Danych Osobowych, zgodnie z przepisami RODO.</w:t>
      </w:r>
    </w:p>
    <w:p>
      <w:pPr>
        <w:spacing w:after="90"/>
        <w:ind w:left="420" w:hanging="420"/>
        <w:jc w:val="both"/>
      </w:pPr>
      <w:r>
        <w:rPr>
          <w:rFonts w:ascii="Calibri" w:cs="Calibri" w:eastAsia="Calibri" w:hAnsi="Calibri"/>
          <w:b/>
          <w:bCs/>
          <w:sz w:val="21"/>
          <w:szCs w:val="21"/>
        </w:rPr>
        <w:t xml:space="preserve">7. </w:t>
      </w:r>
      <w:r>
        <w:rPr>
          <w:rFonts w:ascii="Calibri" w:cs="Calibri" w:eastAsia="Calibri" w:hAnsi="Calibri"/>
          <w:sz w:val="21"/>
          <w:szCs w:val="21"/>
        </w:rPr>
        <w:t xml:space="preserve">Dane nie będą wykorzystywane do zautomatyzowanego podejmowania decyzji, w tym profilowania. Dane nie będą przekazywane poza Europejski Obszar Gospodarczy, chyba że nastąpi to zgodnie z przepisami RODO.</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17. Rozstrzyganie sporów</w:t>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Strony będą dążyć do polubownego rozwiązania sporów wynikłych z umowy.</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Inwestor będący konsumentem może skorzystać z pozasądowych sposobów rozwiązywania sporów, w szczególności z pomocy powiatowego albo miejskiego rzecznika konsumentów, Inspekcji Handlowej albo właściwych podmiotów ADR wpisanych do publicznych rejestrów.</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W braku porozumienia spór rozstrzyga sąd właściwy zgodnie z przepisami Kodeksu postępowania cywilnego. Postanowienie to nie ogranicza uprawnień konsumenta wynikających z przepisów bezwzględnie obowiązujących.</w:t>
      </w:r>
    </w:p>
    <w:p>
      <w:pPr>
        <w:pStyle w:val="Heading2"/>
        <w:keepNext/>
        <w:pBdr>
          <w:bottom w:val="single" w:color="BFBFBF" w:sz="6" w:space="4"/>
        </w:pBdr>
        <w:spacing w:after="120" w:before="260"/>
      </w:pPr>
      <w:r>
        <w:rPr>
          <w:rFonts w:ascii="Calibri" w:cs="Calibri" w:eastAsia="Calibri" w:hAnsi="Calibri"/>
          <w:b/>
          <w:bCs/>
          <w:color w:val="1F3864"/>
          <w:sz w:val="23"/>
          <w:szCs w:val="23"/>
        </w:rPr>
        <w:t xml:space="preserve">§ 18. Postanowienia końcowe</w:t>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Załączniki nr 1–5 stanowią integralną część umowy.</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Zmiany umowy wymagają formy dokumentowej, chyba że przepisy bezwzględnie obowiązujące wymagają innej formy albo przyznają konsumentowi dalej idące uprawnienia.</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Konsument nie może zrzec się praw przyznanych mu przez przepisy bezwzględnie obowiązujące. Postanowienia mniej korzystne dla konsumenta niż przepisy bezwzględnie obowiązujące nie wiążą konsumenta, a w ich miejsce stosuje się właściwe przepisy prawa.</w:t>
      </w:r>
    </w:p>
    <w:p>
      <w:pPr>
        <w:spacing w:after="9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Jeżeli którekolwiek postanowienie umowy okaże się nieważne lub bezskuteczne, pozostałe postanowienia pozostają w mocy w zakresie dopuszczalnym przez prawo. Nie narusza to zasad dotyczących niedozwolonych postanowień umownych w umowach z konsumentami.</w:t>
      </w:r>
    </w:p>
    <w:p>
      <w:pPr>
        <w:spacing w:after="90"/>
        <w:ind w:left="420" w:hanging="420"/>
        <w:jc w:val="both"/>
      </w:pPr>
      <w:r>
        <w:rPr>
          <w:rFonts w:ascii="Calibri" w:cs="Calibri" w:eastAsia="Calibri" w:hAnsi="Calibri"/>
          <w:b/>
          <w:bCs/>
          <w:sz w:val="21"/>
          <w:szCs w:val="21"/>
        </w:rPr>
        <w:t xml:space="preserve">5. </w:t>
      </w:r>
      <w:r>
        <w:rPr>
          <w:rFonts w:ascii="Calibri" w:cs="Calibri" w:eastAsia="Calibri" w:hAnsi="Calibri"/>
          <w:sz w:val="21"/>
          <w:szCs w:val="21"/>
        </w:rPr>
        <w:t xml:space="preserve">W sprawach nieuregulowanych zastosowanie mają przepisy Kodeksu cywilnego, ustawy o prawach konsumenta, RODO oraz inne właściwe przepisy prawa.</w:t>
      </w:r>
    </w:p>
    <w:p>
      <w:pPr>
        <w:spacing w:after="90"/>
        <w:ind w:left="420" w:hanging="420"/>
        <w:jc w:val="both"/>
      </w:pPr>
      <w:r>
        <w:rPr>
          <w:rFonts w:ascii="Calibri" w:cs="Calibri" w:eastAsia="Calibri" w:hAnsi="Calibri"/>
          <w:b/>
          <w:bCs/>
          <w:sz w:val="21"/>
          <w:szCs w:val="21"/>
        </w:rPr>
        <w:t xml:space="preserve">6. </w:t>
      </w:r>
      <w:r>
        <w:rPr>
          <w:rFonts w:ascii="Calibri" w:cs="Calibri" w:eastAsia="Calibri" w:hAnsi="Calibri"/>
          <w:sz w:val="21"/>
          <w:szCs w:val="21"/>
        </w:rPr>
        <w:t xml:space="preserve">Umowę sporządzono w dwóch jednobrzmiących egzemplarzach, po jednym dla każdej ze Stron, chyba że Strony zgodnie ustalą przekazanie umowy na trwałym nośniku.</w:t>
      </w:r>
    </w:p>
    <w:p>
      <w:pPr>
        <w:spacing w:after="90"/>
        <w:ind w:left="420" w:hanging="420"/>
        <w:jc w:val="both"/>
      </w:pPr>
      <w:r>
        <w:rPr>
          <w:rFonts w:ascii="Calibri" w:cs="Calibri" w:eastAsia="Calibri" w:hAnsi="Calibri"/>
          <w:b/>
          <w:bCs/>
          <w:sz w:val="21"/>
          <w:szCs w:val="21"/>
        </w:rPr>
        <w:t xml:space="preserve">7. </w:t>
      </w:r>
      <w:r>
        <w:rPr>
          <w:rFonts w:ascii="Calibri" w:cs="Calibri" w:eastAsia="Calibri" w:hAnsi="Calibri"/>
          <w:sz w:val="21"/>
          <w:szCs w:val="21"/>
        </w:rPr>
        <w:t xml:space="preserve">BudFinder.pl nie jest stroną niniejszej umowy i nie ponosi odpowiedzialności za wykonanie prac, rozliczenia, reklamacje ani zobowiązania Stron, chyba że wynika to z odrębnej umowy zawartej bezpośrednio z BudFinder.pl.</w:t>
      </w:r>
    </w:p>
    <w:p>
      <w:pPr>
        <w:spacing w:after="30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680"/>
        <w:gridCol w:w="720"/>
        <w:gridCol w:w="4680"/>
      </w:tblGrid>
      <w:tr>
        <w:tc>
          <w:tcPr>
            <w:tcW w:type="dxa" w:w="4680"/>
            <w:tcBorders>
              <w:top w:val="single" w:color="000000" w:sz="6"/>
              <w:left w:val="none"/>
              <w:bottom w:val="none"/>
              <w:right w:val="none"/>
            </w:tcBorders>
            <w:tcMar>
              <w:top w:type="dxa" w:w="60"/>
            </w:tcMar>
          </w:tcPr>
          <w:p>
            <w:pPr>
              <w:jc w:val="center"/>
            </w:pPr>
            <w:r>
              <w:rPr>
                <w:rFonts w:ascii="Calibri" w:cs="Calibri" w:eastAsia="Calibri" w:hAnsi="Calibri"/>
                <w:b w:val="false"/>
                <w:bCs w:val="false"/>
                <w:i w:val="false"/>
                <w:iCs w:val="false"/>
                <w:color w:val="595959"/>
                <w:sz w:val="18"/>
                <w:szCs w:val="18"/>
              </w:rPr>
              <w:t xml:space="preserve">Czytelny podpis Wykonawcy</w:t>
            </w:r>
          </w:p>
        </w:tc>
        <w:tc>
          <w:tcPr>
            <w:tcW w:type="dxa" w:w="720"/>
            <w:tcBorders>
              <w:top w:val="none"/>
              <w:left w:val="none"/>
              <w:bottom w:val="none"/>
              <w:right w:val="none"/>
            </w:tcBorders>
          </w:tcPr>
          <w:p/>
        </w:tc>
        <w:tc>
          <w:tcPr>
            <w:tcW w:type="dxa" w:w="4680"/>
            <w:tcBorders>
              <w:top w:val="single" w:color="000000" w:sz="6"/>
              <w:left w:val="none"/>
              <w:bottom w:val="none"/>
              <w:right w:val="none"/>
            </w:tcBorders>
            <w:tcMar>
              <w:top w:type="dxa" w:w="60"/>
            </w:tcMar>
          </w:tcPr>
          <w:p>
            <w:pPr>
              <w:jc w:val="center"/>
            </w:pPr>
            <w:r>
              <w:rPr>
                <w:rFonts w:ascii="Calibri" w:cs="Calibri" w:eastAsia="Calibri" w:hAnsi="Calibri"/>
                <w:b w:val="false"/>
                <w:bCs w:val="false"/>
                <w:i w:val="false"/>
                <w:iCs w:val="false"/>
                <w:color w:val="595959"/>
                <w:sz w:val="18"/>
                <w:szCs w:val="18"/>
              </w:rPr>
              <w:t xml:space="preserve">Czytelny podpis Inwestora</w:t>
            </w:r>
          </w:p>
        </w:tc>
      </w:tr>
    </w:tbl>
    <w:p>
      <w:pPr>
        <w:spacing w:after="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680"/>
        <w:gridCol w:w="720"/>
        <w:gridCol w:w="4680"/>
      </w:tblGrid>
      <w:tr>
        <w:tc>
          <w:tcPr>
            <w:tcW w:type="dxa" w:w="4680"/>
            <w:tcBorders>
              <w:top w:val="none"/>
              <w:left w:val="none"/>
              <w:bottom w:val="none"/>
              <w:right w:val="none"/>
            </w:tcBorders>
          </w:tcPr>
          <w:p>
            <w:pPr>
              <w:jc w:val="center"/>
            </w:pPr>
            <w:r>
              <w:rPr>
                <w:rFonts w:ascii="Calibri" w:cs="Calibri" w:eastAsia="Calibri" w:hAnsi="Calibri"/>
                <w:b w:val="false"/>
                <w:bCs w:val="false"/>
                <w:i w:val="false"/>
                <w:iCs w:val="false"/>
                <w:color w:val="595959"/>
                <w:sz w:val="16"/>
                <w:szCs w:val="16"/>
              </w:rPr>
              <w:t xml:space="preserve">Data: ......................................</w:t>
            </w:r>
          </w:p>
        </w:tc>
        <w:tc>
          <w:tcPr>
            <w:tcW w:type="dxa" w:w="720"/>
            <w:tcBorders>
              <w:top w:val="none"/>
              <w:left w:val="none"/>
              <w:bottom w:val="none"/>
              <w:right w:val="none"/>
            </w:tcBorders>
          </w:tcPr>
          <w:p/>
        </w:tc>
        <w:tc>
          <w:tcPr>
            <w:tcW w:type="dxa" w:w="4680"/>
            <w:tcBorders>
              <w:top w:val="none"/>
              <w:left w:val="none"/>
              <w:bottom w:val="none"/>
              <w:right w:val="none"/>
            </w:tcBorders>
          </w:tcPr>
          <w:p>
            <w:pPr>
              <w:jc w:val="center"/>
            </w:pPr>
            <w:r>
              <w:rPr>
                <w:rFonts w:ascii="Calibri" w:cs="Calibri" w:eastAsia="Calibri" w:hAnsi="Calibri"/>
                <w:b w:val="false"/>
                <w:bCs w:val="false"/>
                <w:i w:val="false"/>
                <w:iCs w:val="false"/>
                <w:color w:val="595959"/>
                <w:sz w:val="16"/>
                <w:szCs w:val="16"/>
              </w:rPr>
              <w:t xml:space="preserve">Data: ......................................</w:t>
            </w:r>
          </w:p>
        </w:tc>
      </w:tr>
    </w:tbl>
    <w:p>
      <w:pPr>
        <w:pageBreakBefore/>
        <w:spacing w:after="60"/>
        <w:jc w:val="center"/>
      </w:pPr>
      <w:r>
        <w:rPr>
          <w:rFonts w:ascii="Calibri" w:cs="Calibri" w:eastAsia="Calibri" w:hAnsi="Calibri"/>
          <w:b/>
          <w:bCs/>
          <w:color w:val="1F3864"/>
          <w:sz w:val="30"/>
          <w:szCs w:val="30"/>
        </w:rPr>
        <w:t xml:space="preserve">ZAŁĄCZNIK NR 1: SZCZEGÓŁOWY ZAKRES PRAC</w:t>
      </w:r>
    </w:p>
    <w:p>
      <w:pPr>
        <w:spacing w:after="240"/>
        <w:jc w:val="center"/>
      </w:pPr>
      <w:r>
        <w:rPr>
          <w:rFonts w:ascii="Calibri" w:cs="Calibri" w:eastAsia="Calibri" w:hAnsi="Calibri"/>
          <w:i/>
          <w:iCs/>
          <w:color w:val="595959"/>
          <w:sz w:val="18"/>
          <w:szCs w:val="18"/>
        </w:rPr>
        <w:t xml:space="preserve">Koszyk 1 = w cenie / Koszyk 2 = poza ceną. Wypełnić możliwie szczegółowo przed podpisaniem umowy.</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1500"/>
        <w:gridCol w:w="2100"/>
        <w:gridCol w:w="1250"/>
        <w:gridCol w:w="1900"/>
        <w:gridCol w:w="1450"/>
        <w:gridCol w:w="1306"/>
      </w:tblGrid>
      <w:tr>
        <w:trPr>
          <w:tblHeader/>
        </w:trPr>
        <w:tc>
          <w:tcPr>
            <w:tcW w:type="dxa" w:w="1500"/>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5"/>
                <w:szCs w:val="15"/>
              </w:rPr>
              <w:t xml:space="preserve">Pomieszczenie / miejsce</w:t>
            </w:r>
          </w:p>
        </w:tc>
        <w:tc>
          <w:tcPr>
            <w:tcW w:type="dxa" w:w="2100"/>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5"/>
                <w:szCs w:val="15"/>
              </w:rPr>
              <w:t xml:space="preserve">Zakres prac</w:t>
            </w:r>
          </w:p>
        </w:tc>
        <w:tc>
          <w:tcPr>
            <w:tcW w:type="dxa" w:w="1250"/>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5"/>
                <w:szCs w:val="15"/>
              </w:rPr>
              <w:t xml:space="preserve">Ilość / metraż</w:t>
            </w:r>
          </w:p>
        </w:tc>
        <w:tc>
          <w:tcPr>
            <w:tcW w:type="dxa" w:w="1900"/>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5"/>
                <w:szCs w:val="15"/>
              </w:rPr>
              <w:t xml:space="preserve">Standard / materiał</w:t>
            </w:r>
          </w:p>
        </w:tc>
        <w:tc>
          <w:tcPr>
            <w:tcW w:type="dxa" w:w="1450"/>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5"/>
                <w:szCs w:val="15"/>
              </w:rPr>
              <w:t xml:space="preserve">Kto dostarcza</w:t>
            </w:r>
          </w:p>
        </w:tc>
        <w:tc>
          <w:tcPr>
            <w:tcW w:type="dxa" w:w="1306"/>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5"/>
                <w:szCs w:val="15"/>
              </w:rPr>
              <w:t xml:space="preserve">Koszyk / uwagi</w:t>
            </w:r>
          </w:p>
        </w:tc>
      </w:tr>
      <w:tr>
        <w:trPr>
          <w:trHeight w:val="760" w:hRule="atLeast"/>
        </w:trPr>
        <w:tc>
          <w:tcPr>
            <w:tcW w:type="dxa" w:w="1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21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2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9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4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3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r>
      <w:tr>
        <w:trPr>
          <w:trHeight w:val="760" w:hRule="atLeast"/>
        </w:trPr>
        <w:tc>
          <w:tcPr>
            <w:tcW w:type="dxa" w:w="1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21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2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9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4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3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r>
      <w:tr>
        <w:trPr>
          <w:trHeight w:val="760" w:hRule="atLeast"/>
        </w:trPr>
        <w:tc>
          <w:tcPr>
            <w:tcW w:type="dxa" w:w="1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21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2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9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4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3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r>
      <w:tr>
        <w:trPr>
          <w:trHeight w:val="760" w:hRule="atLeast"/>
        </w:trPr>
        <w:tc>
          <w:tcPr>
            <w:tcW w:type="dxa" w:w="1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21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2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9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4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3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r>
      <w:tr>
        <w:trPr>
          <w:trHeight w:val="760" w:hRule="atLeast"/>
        </w:trPr>
        <w:tc>
          <w:tcPr>
            <w:tcW w:type="dxa" w:w="1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21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2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9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4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3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r>
      <w:tr>
        <w:trPr>
          <w:trHeight w:val="760" w:hRule="atLeast"/>
        </w:trPr>
        <w:tc>
          <w:tcPr>
            <w:tcW w:type="dxa" w:w="1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21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2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9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4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3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r>
      <w:tr>
        <w:trPr>
          <w:trHeight w:val="760" w:hRule="atLeast"/>
        </w:trPr>
        <w:tc>
          <w:tcPr>
            <w:tcW w:type="dxa" w:w="1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21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2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9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4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3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r>
      <w:tr>
        <w:trPr>
          <w:trHeight w:val="760" w:hRule="atLeast"/>
        </w:trPr>
        <w:tc>
          <w:tcPr>
            <w:tcW w:type="dxa" w:w="1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21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2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9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4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3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r>
      <w:tr>
        <w:trPr>
          <w:trHeight w:val="760" w:hRule="atLeast"/>
        </w:trPr>
        <w:tc>
          <w:tcPr>
            <w:tcW w:type="dxa" w:w="1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21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2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9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4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3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r>
      <w:tr>
        <w:trPr>
          <w:trHeight w:val="760" w:hRule="atLeast"/>
        </w:trPr>
        <w:tc>
          <w:tcPr>
            <w:tcW w:type="dxa" w:w="1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21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2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9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4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3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r>
      <w:tr>
        <w:trPr>
          <w:trHeight w:val="760" w:hRule="atLeast"/>
        </w:trPr>
        <w:tc>
          <w:tcPr>
            <w:tcW w:type="dxa" w:w="1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21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2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9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45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c>
          <w:tcPr>
            <w:tcW w:type="dxa" w:w="13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w:r>
          </w:p>
        </w:tc>
      </w:tr>
    </w:tbl>
    <w:p>
      <w:pPr>
        <w:spacing w:after="160"/>
        <w:jc w:val="left"/>
      </w:pPr>
      <w:r>
        <w:rPr>
          <w:rFonts w:ascii="Calibri" w:cs="Calibri" w:eastAsia="Calibri" w:hAnsi="Calibri"/>
          <w:b/>
          <w:bCs/>
          <w:i w:val="false"/>
          <w:iCs w:val="false"/>
          <w:sz w:val="21"/>
          <w:szCs w:val="21"/>
        </w:rPr>
        <w:t xml:space="preserve">Prace wyłączone z ceny (Koszyk 2):</w:t>
      </w:r>
    </w:p>
    <w:p>
      <w:pPr>
        <w:tabs>
          <w:tab w:val="right" w:pos="9506" w:leader="dot"/>
        </w:tabs>
        <w:spacing w:after="480"/>
      </w:pPr>
      <w:r>
        <w:tab/>
      </w:r>
    </w:p>
    <w:p>
      <w:pPr>
        <w:tabs>
          <w:tab w:val="right" w:pos="9506" w:leader="dot"/>
        </w:tabs>
        <w:spacing w:after="480"/>
      </w:pPr>
      <w:r>
        <w:tab/>
      </w:r>
    </w:p>
    <w:p>
      <w:pPr>
        <w:tabs>
          <w:tab w:val="right" w:pos="9506" w:leader="dot"/>
        </w:tabs>
        <w:spacing w:after="480"/>
      </w:pPr>
      <w:r>
        <w:tab/>
      </w:r>
    </w:p>
    <w:p>
      <w:pPr>
        <w:tabs>
          <w:tab w:val="right" w:pos="9506" w:leader="dot"/>
        </w:tabs>
        <w:spacing w:after="480"/>
      </w:pPr>
      <w:r>
        <w:tab/>
      </w:r>
    </w:p>
    <w:p>
      <w:pPr>
        <w:spacing w:after="120"/>
        <w:jc w:val="left"/>
      </w:pPr>
      <w:r>
        <w:rPr>
          <w:rFonts w:ascii="Calibri" w:cs="Calibri" w:eastAsia="Calibri" w:hAnsi="Calibri"/>
          <w:b/>
          <w:bCs/>
          <w:i w:val="false"/>
          <w:iCs w:val="false"/>
          <w:sz w:val="21"/>
          <w:szCs w:val="21"/>
        </w:rPr>
        <w:t xml:space="preserve">Materiały (zaznacz):</w:t>
      </w:r>
    </w:p>
    <w:p>
      <w:pPr>
        <w:spacing w:after="120"/>
        <w:ind w:left="180"/>
      </w:pPr>
      <w:r>
        <w:rPr>
          <w:rFonts w:ascii="Calibri" w:cs="Calibri" w:eastAsia="Calibri" w:hAnsi="Calibri"/>
          <w:sz w:val="21"/>
          <w:szCs w:val="21"/>
        </w:rPr>
        <w:t xml:space="preserve">[ ] po stronie Wykonawcy     [ ] po stronie Inwestora     [ ] mieszane — opis poniżej</w:t>
      </w:r>
    </w:p>
    <w:p>
      <w:pPr>
        <w:tabs>
          <w:tab w:val="right" w:pos="9506" w:leader="dot"/>
        </w:tabs>
        <w:spacing w:after="480"/>
      </w:pPr>
      <w:r>
        <w:tab/>
      </w:r>
    </w:p>
    <w:p>
      <w:pPr>
        <w:spacing w:after="160"/>
        <w:jc w:val="left"/>
      </w:pPr>
      <w:r>
        <w:rPr>
          <w:rFonts w:ascii="Calibri" w:cs="Calibri" w:eastAsia="Calibri" w:hAnsi="Calibri"/>
          <w:b/>
          <w:bCs/>
          <w:i w:val="false"/>
          <w:iCs w:val="false"/>
          <w:sz w:val="21"/>
          <w:szCs w:val="21"/>
        </w:rPr>
        <w:t xml:space="preserve">Roboty zanikające / ukryte wymagające dokumentacji zdjęciowej:</w:t>
      </w:r>
    </w:p>
    <w:p>
      <w:pPr>
        <w:tabs>
          <w:tab w:val="right" w:pos="9506" w:leader="dot"/>
        </w:tabs>
        <w:spacing w:after="480"/>
      </w:pPr>
      <w:r>
        <w:tab/>
      </w:r>
    </w:p>
    <w:p>
      <w:pPr>
        <w:tabs>
          <w:tab w:val="right" w:pos="9506" w:leader="dot"/>
        </w:tabs>
        <w:spacing w:after="480"/>
      </w:pPr>
      <w:r>
        <w:tab/>
      </w:r>
    </w:p>
    <w:p>
      <w:pPr>
        <w:spacing w:after="160"/>
        <w:jc w:val="left"/>
      </w:pPr>
      <w:r>
        <w:rPr>
          <w:rFonts w:ascii="Calibri" w:cs="Calibri" w:eastAsia="Calibri" w:hAnsi="Calibri"/>
          <w:b/>
          <w:bCs/>
          <w:i w:val="false"/>
          <w:iCs w:val="false"/>
          <w:sz w:val="21"/>
          <w:szCs w:val="21"/>
        </w:rPr>
        <w:t xml:space="preserve">Uwagi dotyczące standardu, tolerancji, kolorystyki, producentów, godzin pracy, zabezpieczenia lokalu:</w:t>
      </w:r>
    </w:p>
    <w:p>
      <w:pPr>
        <w:tabs>
          <w:tab w:val="right" w:pos="9506" w:leader="dot"/>
        </w:tabs>
        <w:spacing w:after="480"/>
      </w:pPr>
      <w:r>
        <w:tab/>
      </w:r>
    </w:p>
    <w:p>
      <w:pPr>
        <w:tabs>
          <w:tab w:val="right" w:pos="9506" w:leader="dot"/>
        </w:tabs>
        <w:spacing w:after="480"/>
      </w:pPr>
      <w:r>
        <w:tab/>
      </w:r>
    </w:p>
    <w:p>
      <w:pPr>
        <w:tabs>
          <w:tab w:val="right" w:pos="9506" w:leader="dot"/>
        </w:tabs>
        <w:spacing w:after="480"/>
      </w:pPr>
      <w:r>
        <w:tab/>
      </w:r>
    </w:p>
    <w:p>
      <w:pPr>
        <w:pageBreakBefore/>
        <w:spacing w:after="60"/>
        <w:jc w:val="center"/>
      </w:pPr>
      <w:r>
        <w:rPr>
          <w:rFonts w:ascii="Calibri" w:cs="Calibri" w:eastAsia="Calibri" w:hAnsi="Calibri"/>
          <w:b/>
          <w:bCs/>
          <w:color w:val="1F3864"/>
          <w:sz w:val="30"/>
          <w:szCs w:val="30"/>
        </w:rPr>
        <w:t xml:space="preserve">ZAŁĄCZNIK NR 2: PROTOKÓŁ ZMIANY PRAC</w:t>
      </w:r>
    </w:p>
    <w:p>
      <w:pPr>
        <w:tabs>
          <w:tab w:val="right" w:pos="9506" w:leader="dot"/>
        </w:tabs>
        <w:spacing w:after="480"/>
      </w:pPr>
      <w:r>
        <w:rPr>
          <w:rFonts w:ascii="Calibri" w:cs="Calibri" w:eastAsia="Calibri" w:hAnsi="Calibri"/>
          <w:sz w:val="21"/>
          <w:szCs w:val="21"/>
        </w:rPr>
        <w:t xml:space="preserve">Obiekt / adres:  </w:t>
      </w:r>
      <w:r>
        <w:tab/>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3200"/>
        <w:gridCol w:w="6306"/>
      </w:tblGrid>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Opis zmiany:</w:t>
            </w:r>
          </w:p>
        </w:tc>
        <w:tc>
          <w:tcPr>
            <w:tcW w:type="dxa" w:w="6306"/>
            <w:tcMar>
              <w:top w:type="dxa" w:w="130"/>
              <w:left w:type="dxa" w:w="90"/>
              <w:bottom w:type="dxa" w:w="130"/>
              <w:right w:type="dxa" w:w="90"/>
            </w:tcMar>
          </w:tcPr>
          <w:p>
            <w:pPr>
              <w:tabs>
                <w:tab w:val="right" w:pos="6000" w:leader="dot"/>
              </w:tabs>
              <w:spacing w:after="170"/>
            </w:pPr>
            <w:r>
              <w:tab/>
            </w:r>
          </w:p>
          <w:p>
            <w:pPr>
              <w:tabs>
                <w:tab w:val="right" w:pos="6000" w:leader="dot"/>
              </w:tabs>
              <w:spacing w:after="170"/>
            </w:pPr>
            <w:r>
              <w:tab/>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Czy zmiana jest pracą dodatkową?</w:t>
            </w:r>
          </w:p>
        </w:tc>
        <w:tc>
          <w:tcPr>
            <w:tcW w:type="dxa" w:w="6306"/>
            <w:tcMar>
              <w:top w:type="dxa" w:w="130"/>
              <w:left w:type="dxa" w:w="90"/>
              <w:bottom w:type="dxa" w:w="130"/>
              <w:right w:type="dxa" w:w="90"/>
            </w:tcMar>
          </w:tcPr>
          <w:p>
            <w:r>
              <w:rPr>
                <w:rFonts w:ascii="Calibri" w:cs="Calibri" w:eastAsia="Calibri" w:hAnsi="Calibri"/>
                <w:b w:val="false"/>
                <w:bCs w:val="false"/>
                <w:i w:val="false"/>
                <w:iCs w:val="false"/>
                <w:sz w:val="19"/>
                <w:szCs w:val="19"/>
              </w:rPr>
              <w:t xml:space="preserve">[ ] TAK   [ ] NIE</w:t>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Dodatkowy koszt brutto:</w:t>
            </w:r>
          </w:p>
        </w:tc>
        <w:tc>
          <w:tcPr>
            <w:tcW w:type="dxa" w:w="6306"/>
            <w:tcMar>
              <w:top w:type="dxa" w:w="130"/>
              <w:left w:type="dxa" w:w="90"/>
              <w:bottom w:type="dxa" w:w="130"/>
              <w:right w:type="dxa" w:w="90"/>
            </w:tcMar>
          </w:tcPr>
          <w:p>
            <w:pPr>
              <w:tabs>
                <w:tab w:val="right" w:pos="5500" w:leader="dot"/>
              </w:tabs>
            </w:pPr>
            <w:r>
              <w:tab/>
            </w:r>
            <w:r>
              <w:rPr>
                <w:rFonts w:ascii="Calibri" w:cs="Calibri" w:eastAsia="Calibri" w:hAnsi="Calibri"/>
                <w:b w:val="false"/>
                <w:bCs w:val="false"/>
                <w:i w:val="false"/>
                <w:iCs w:val="false"/>
                <w:sz w:val="19"/>
                <w:szCs w:val="19"/>
              </w:rPr>
              <w:t xml:space="preserve"> zł</w:t>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Termin płatności:</w:t>
            </w:r>
          </w:p>
        </w:tc>
        <w:tc>
          <w:tcPr>
            <w:tcW w:type="dxa" w:w="6306"/>
            <w:tcMar>
              <w:top w:type="dxa" w:w="130"/>
              <w:left w:type="dxa" w:w="90"/>
              <w:bottom w:type="dxa" w:w="130"/>
              <w:right w:type="dxa" w:w="90"/>
            </w:tcMar>
          </w:tcPr>
          <w:p>
            <w:pPr>
              <w:tabs>
                <w:tab w:val="right" w:pos="6000" w:leader="dot"/>
              </w:tabs>
              <w:spacing w:after="170"/>
            </w:pPr>
            <w:r>
              <w:tab/>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Wpływ na termin końcowy:</w:t>
            </w:r>
          </w:p>
        </w:tc>
        <w:tc>
          <w:tcPr>
            <w:tcW w:type="dxa" w:w="6306"/>
            <w:tcMar>
              <w:top w:type="dxa" w:w="130"/>
              <w:left w:type="dxa" w:w="90"/>
              <w:bottom w:type="dxa" w:w="130"/>
              <w:right w:type="dxa" w:w="90"/>
            </w:tcMar>
          </w:tcPr>
          <w:p>
            <w:r>
              <w:rPr>
                <w:rFonts w:ascii="Calibri" w:cs="Calibri" w:eastAsia="Calibri" w:hAnsi="Calibri"/>
                <w:b w:val="false"/>
                <w:bCs w:val="false"/>
                <w:i w:val="false"/>
                <w:iCs w:val="false"/>
                <w:sz w:val="19"/>
                <w:szCs w:val="19"/>
              </w:rPr>
              <w:t xml:space="preserve">[ ] brak   [ ] wydłużenie o ......... dni   [ ] inny</w:t>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Wpływ na inne etapy:</w:t>
            </w:r>
          </w:p>
        </w:tc>
        <w:tc>
          <w:tcPr>
            <w:tcW w:type="dxa" w:w="6306"/>
            <w:tcMar>
              <w:top w:type="dxa" w:w="130"/>
              <w:left w:type="dxa" w:w="90"/>
              <w:bottom w:type="dxa" w:w="130"/>
              <w:right w:type="dxa" w:w="90"/>
            </w:tcMar>
          </w:tcPr>
          <w:p>
            <w:r>
              <w:rPr>
                <w:rFonts w:ascii="Calibri" w:cs="Calibri" w:eastAsia="Calibri" w:hAnsi="Calibri"/>
                <w:b w:val="false"/>
                <w:bCs w:val="false"/>
                <w:i w:val="false"/>
                <w:iCs w:val="false"/>
                <w:sz w:val="19"/>
                <w:szCs w:val="19"/>
              </w:rPr>
              <w:t xml:space="preserve">[ ] brak   [ ] tak — opis poniżej</w:t>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Załączniki / zdjęcia / szkice:</w:t>
            </w:r>
          </w:p>
        </w:tc>
        <w:tc>
          <w:tcPr>
            <w:tcW w:type="dxa" w:w="6306"/>
            <w:tcMar>
              <w:top w:type="dxa" w:w="130"/>
              <w:left w:type="dxa" w:w="90"/>
              <w:bottom w:type="dxa" w:w="130"/>
              <w:right w:type="dxa" w:w="90"/>
            </w:tcMar>
          </w:tcPr>
          <w:p>
            <w:pPr>
              <w:tabs>
                <w:tab w:val="right" w:pos="6000" w:leader="dot"/>
              </w:tabs>
              <w:spacing w:after="170"/>
            </w:pPr>
            <w:r>
              <w:tab/>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Uwagi:</w:t>
            </w:r>
          </w:p>
        </w:tc>
        <w:tc>
          <w:tcPr>
            <w:tcW w:type="dxa" w:w="6306"/>
            <w:tcMar>
              <w:top w:type="dxa" w:w="130"/>
              <w:left w:type="dxa" w:w="90"/>
              <w:bottom w:type="dxa" w:w="130"/>
              <w:right w:type="dxa" w:w="90"/>
            </w:tcMar>
          </w:tcPr>
          <w:p>
            <w:pPr>
              <w:tabs>
                <w:tab w:val="right" w:pos="6000" w:leader="dot"/>
              </w:tabs>
              <w:spacing w:after="170"/>
            </w:pPr>
            <w:r>
              <w:tab/>
            </w:r>
          </w:p>
        </w:tc>
      </w:tr>
    </w:tbl>
    <w:p>
      <w:pPr>
        <w:spacing w:after="2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680"/>
        <w:gridCol w:w="720"/>
        <w:gridCol w:w="4680"/>
      </w:tblGrid>
      <w:tr>
        <w:tc>
          <w:tcPr>
            <w:tcW w:type="dxa" w:w="4680"/>
            <w:tcBorders>
              <w:top w:val="single" w:color="000000" w:sz="6"/>
              <w:left w:val="none"/>
              <w:bottom w:val="none"/>
              <w:right w:val="none"/>
            </w:tcBorders>
            <w:tcMar>
              <w:top w:type="dxa" w:w="60"/>
            </w:tcMar>
          </w:tcPr>
          <w:p>
            <w:pPr>
              <w:jc w:val="center"/>
            </w:pPr>
            <w:r>
              <w:rPr>
                <w:rFonts w:ascii="Calibri" w:cs="Calibri" w:eastAsia="Calibri" w:hAnsi="Calibri"/>
                <w:b w:val="false"/>
                <w:bCs w:val="false"/>
                <w:i w:val="false"/>
                <w:iCs w:val="false"/>
                <w:color w:val="595959"/>
                <w:sz w:val="18"/>
                <w:szCs w:val="18"/>
              </w:rPr>
              <w:t xml:space="preserve">Podpis Wykonawcy</w:t>
            </w:r>
          </w:p>
        </w:tc>
        <w:tc>
          <w:tcPr>
            <w:tcW w:type="dxa" w:w="720"/>
            <w:tcBorders>
              <w:top w:val="none"/>
              <w:left w:val="none"/>
              <w:bottom w:val="none"/>
              <w:right w:val="none"/>
            </w:tcBorders>
          </w:tcPr>
          <w:p/>
        </w:tc>
        <w:tc>
          <w:tcPr>
            <w:tcW w:type="dxa" w:w="4680"/>
            <w:tcBorders>
              <w:top w:val="single" w:color="000000" w:sz="6"/>
              <w:left w:val="none"/>
              <w:bottom w:val="none"/>
              <w:right w:val="none"/>
            </w:tcBorders>
            <w:tcMar>
              <w:top w:type="dxa" w:w="60"/>
            </w:tcMar>
          </w:tcPr>
          <w:p>
            <w:pPr>
              <w:jc w:val="center"/>
            </w:pPr>
            <w:r>
              <w:rPr>
                <w:rFonts w:ascii="Calibri" w:cs="Calibri" w:eastAsia="Calibri" w:hAnsi="Calibri"/>
                <w:b w:val="false"/>
                <w:bCs w:val="false"/>
                <w:i w:val="false"/>
                <w:iCs w:val="false"/>
                <w:color w:val="595959"/>
                <w:sz w:val="18"/>
                <w:szCs w:val="18"/>
              </w:rPr>
              <w:t xml:space="preserve">Podpis Inwestora</w:t>
            </w:r>
          </w:p>
        </w:tc>
      </w:tr>
    </w:tbl>
    <w:p>
      <w:pPr>
        <w:pageBreakBefore/>
        <w:spacing w:after="60"/>
        <w:jc w:val="center"/>
      </w:pPr>
      <w:r>
        <w:rPr>
          <w:rFonts w:ascii="Calibri" w:cs="Calibri" w:eastAsia="Calibri" w:hAnsi="Calibri"/>
          <w:b/>
          <w:bCs/>
          <w:color w:val="1F3864"/>
          <w:sz w:val="30"/>
          <w:szCs w:val="30"/>
        </w:rPr>
        <w:t xml:space="preserve">ZAŁĄCZNIK NR 3: PROTOKÓŁ ODBIORU</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3200"/>
        <w:gridCol w:w="6306"/>
      </w:tblGrid>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Data odbioru:</w:t>
            </w:r>
          </w:p>
        </w:tc>
        <w:tc>
          <w:tcPr>
            <w:tcW w:type="dxa" w:w="6306"/>
            <w:tcMar>
              <w:top w:type="dxa" w:w="130"/>
              <w:left w:type="dxa" w:w="90"/>
              <w:bottom w:type="dxa" w:w="130"/>
              <w:right w:type="dxa" w:w="90"/>
            </w:tcMar>
          </w:tcPr>
          <w:p>
            <w:pPr>
              <w:tabs>
                <w:tab w:val="right" w:pos="6000" w:leader="dot"/>
              </w:tabs>
              <w:spacing w:after="170"/>
            </w:pPr>
            <w:r>
              <w:tab/>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Odbiór dotyczy:</w:t>
            </w:r>
          </w:p>
        </w:tc>
        <w:tc>
          <w:tcPr>
            <w:tcW w:type="dxa" w:w="6306"/>
            <w:tcMar>
              <w:top w:type="dxa" w:w="130"/>
              <w:left w:type="dxa" w:w="90"/>
              <w:bottom w:type="dxa" w:w="130"/>
              <w:right w:type="dxa" w:w="90"/>
            </w:tcMar>
          </w:tcPr>
          <w:p>
            <w:r>
              <w:rPr>
                <w:rFonts w:ascii="Calibri" w:cs="Calibri" w:eastAsia="Calibri" w:hAnsi="Calibri"/>
                <w:b w:val="false"/>
                <w:bCs w:val="false"/>
                <w:i w:val="false"/>
                <w:iCs w:val="false"/>
                <w:sz w:val="19"/>
                <w:szCs w:val="19"/>
              </w:rPr>
              <w:t xml:space="preserve">[ ] etapu: .....................................   [ ] całości prac</w:t>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Wynik odbioru:</w:t>
            </w:r>
          </w:p>
        </w:tc>
        <w:tc>
          <w:tcPr>
            <w:tcW w:type="dxa" w:w="6306"/>
            <w:tcMar>
              <w:top w:type="dxa" w:w="130"/>
              <w:left w:type="dxa" w:w="90"/>
              <w:bottom w:type="dxa" w:w="130"/>
              <w:right w:type="dxa" w:w="90"/>
            </w:tcMar>
          </w:tcPr>
          <w:p>
            <w:r>
              <w:rPr>
                <w:rFonts w:ascii="Calibri" w:cs="Calibri" w:eastAsia="Calibri" w:hAnsi="Calibri"/>
                <w:b w:val="false"/>
                <w:bCs w:val="false"/>
                <w:i w:val="false"/>
                <w:iCs w:val="false"/>
                <w:sz w:val="19"/>
                <w:szCs w:val="19"/>
              </w:rPr>
              <w:t xml:space="preserve">[ ] bez zastrzeżeń   [ ] z zastrzeżeniami   [ ] odmowa odbioru</w:t>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Usterki nieistotne:</w:t>
            </w:r>
          </w:p>
        </w:tc>
        <w:tc>
          <w:tcPr>
            <w:tcW w:type="dxa" w:w="6306"/>
            <w:tcMar>
              <w:top w:type="dxa" w:w="130"/>
              <w:left w:type="dxa" w:w="90"/>
              <w:bottom w:type="dxa" w:w="130"/>
              <w:right w:type="dxa" w:w="90"/>
            </w:tcMar>
          </w:tcPr>
          <w:p>
            <w:pPr>
              <w:tabs>
                <w:tab w:val="right" w:pos="6000" w:leader="dot"/>
              </w:tabs>
              <w:spacing w:after="170"/>
            </w:pPr>
            <w:r>
              <w:tab/>
            </w:r>
          </w:p>
          <w:p>
            <w:pPr>
              <w:tabs>
                <w:tab w:val="right" w:pos="6000" w:leader="dot"/>
              </w:tabs>
            </w:pPr>
            <w:r>
              <w:rPr>
                <w:rFonts w:ascii="Calibri" w:cs="Calibri" w:eastAsia="Calibri" w:hAnsi="Calibri"/>
                <w:b w:val="false"/>
                <w:bCs w:val="false"/>
                <w:i w:val="false"/>
                <w:iCs w:val="false"/>
                <w:sz w:val="18"/>
                <w:szCs w:val="18"/>
              </w:rPr>
              <w:t xml:space="preserve">termin usunięcia: </w:t>
            </w:r>
            <w:r>
              <w:tab/>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Wady / usterki istotne:</w:t>
            </w:r>
          </w:p>
        </w:tc>
        <w:tc>
          <w:tcPr>
            <w:tcW w:type="dxa" w:w="6306"/>
            <w:tcMar>
              <w:top w:type="dxa" w:w="130"/>
              <w:left w:type="dxa" w:w="90"/>
              <w:bottom w:type="dxa" w:w="130"/>
              <w:right w:type="dxa" w:w="90"/>
            </w:tcMar>
          </w:tcPr>
          <w:p>
            <w:pPr>
              <w:tabs>
                <w:tab w:val="right" w:pos="6000" w:leader="dot"/>
              </w:tabs>
              <w:spacing w:after="170"/>
            </w:pPr>
            <w:r>
              <w:tab/>
            </w:r>
          </w:p>
          <w:p>
            <w:pPr>
              <w:tabs>
                <w:tab w:val="right" w:pos="6000" w:leader="dot"/>
              </w:tabs>
            </w:pPr>
            <w:r>
              <w:rPr>
                <w:rFonts w:ascii="Calibri" w:cs="Calibri" w:eastAsia="Calibri" w:hAnsi="Calibri"/>
                <w:b w:val="false"/>
                <w:bCs w:val="false"/>
                <w:i w:val="false"/>
                <w:iCs w:val="false"/>
                <w:sz w:val="18"/>
                <w:szCs w:val="18"/>
              </w:rPr>
              <w:t xml:space="preserve">termin / sposób postępowania: </w:t>
            </w:r>
            <w:r>
              <w:tab/>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Uzasadnienie odmowy odbioru:</w:t>
            </w:r>
          </w:p>
        </w:tc>
        <w:tc>
          <w:tcPr>
            <w:tcW w:type="dxa" w:w="6306"/>
            <w:tcMar>
              <w:top w:type="dxa" w:w="130"/>
              <w:left w:type="dxa" w:w="90"/>
              <w:bottom w:type="dxa" w:w="130"/>
              <w:right w:type="dxa" w:w="90"/>
            </w:tcMar>
          </w:tcPr>
          <w:p>
            <w:pPr>
              <w:tabs>
                <w:tab w:val="right" w:pos="6000" w:leader="dot"/>
              </w:tabs>
              <w:spacing w:after="170"/>
            </w:pPr>
            <w:r>
              <w:tab/>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Kwota wstrzymana proporcjonalnie do usterek:</w:t>
            </w:r>
          </w:p>
        </w:tc>
        <w:tc>
          <w:tcPr>
            <w:tcW w:type="dxa" w:w="6306"/>
            <w:tcMar>
              <w:top w:type="dxa" w:w="130"/>
              <w:left w:type="dxa" w:w="90"/>
              <w:bottom w:type="dxa" w:w="130"/>
              <w:right w:type="dxa" w:w="90"/>
            </w:tcMar>
          </w:tcPr>
          <w:p>
            <w:pPr>
              <w:tabs>
                <w:tab w:val="right" w:pos="5500" w:leader="dot"/>
              </w:tabs>
            </w:pPr>
            <w:r>
              <w:tab/>
            </w:r>
            <w:r>
              <w:rPr>
                <w:rFonts w:ascii="Calibri" w:cs="Calibri" w:eastAsia="Calibri" w:hAnsi="Calibri"/>
                <w:b w:val="false"/>
                <w:bCs w:val="false"/>
                <w:i w:val="false"/>
                <w:iCs w:val="false"/>
                <w:sz w:val="19"/>
                <w:szCs w:val="19"/>
              </w:rPr>
              <w:t xml:space="preserve"> zł</w:t>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Dokumentacja zdjęciowa:</w:t>
            </w:r>
          </w:p>
        </w:tc>
        <w:tc>
          <w:tcPr>
            <w:tcW w:type="dxa" w:w="6306"/>
            <w:tcMar>
              <w:top w:type="dxa" w:w="130"/>
              <w:left w:type="dxa" w:w="90"/>
              <w:bottom w:type="dxa" w:w="130"/>
              <w:right w:type="dxa" w:w="90"/>
            </w:tcMar>
          </w:tcPr>
          <w:p>
            <w:r>
              <w:rPr>
                <w:rFonts w:ascii="Calibri" w:cs="Calibri" w:eastAsia="Calibri" w:hAnsi="Calibri"/>
                <w:b w:val="false"/>
                <w:bCs w:val="false"/>
                <w:i w:val="false"/>
                <w:iCs w:val="false"/>
                <w:sz w:val="19"/>
                <w:szCs w:val="19"/>
              </w:rPr>
              <w:t xml:space="preserve">[ ] wykonano   [ ] nie wykonano</w:t>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Uwagi Wykonawcy:</w:t>
            </w:r>
          </w:p>
        </w:tc>
        <w:tc>
          <w:tcPr>
            <w:tcW w:type="dxa" w:w="6306"/>
            <w:tcMar>
              <w:top w:type="dxa" w:w="130"/>
              <w:left w:type="dxa" w:w="90"/>
              <w:bottom w:type="dxa" w:w="130"/>
              <w:right w:type="dxa" w:w="90"/>
            </w:tcMar>
          </w:tcPr>
          <w:p>
            <w:pPr>
              <w:tabs>
                <w:tab w:val="right" w:pos="6000" w:leader="dot"/>
              </w:tabs>
              <w:spacing w:after="170"/>
            </w:pPr>
            <w:r>
              <w:tab/>
            </w:r>
          </w:p>
        </w:tc>
      </w:tr>
      <w:tr>
        <w:tc>
          <w:tcPr>
            <w:tcW w:type="dxa" w:w="3200"/>
            <w:tcMar>
              <w:top w:type="dxa" w:w="130"/>
              <w:left w:type="dxa" w:w="90"/>
              <w:bottom w:type="dxa" w:w="130"/>
              <w:right w:type="dxa" w:w="90"/>
            </w:tcMar>
          </w:tcPr>
          <w:p>
            <w:r>
              <w:rPr>
                <w:rFonts w:ascii="Calibri" w:cs="Calibri" w:eastAsia="Calibri" w:hAnsi="Calibri"/>
                <w:b/>
                <w:bCs/>
                <w:i w:val="false"/>
                <w:iCs w:val="false"/>
                <w:sz w:val="19"/>
                <w:szCs w:val="19"/>
              </w:rPr>
              <w:t xml:space="preserve">Uwagi Inwestora:</w:t>
            </w:r>
          </w:p>
        </w:tc>
        <w:tc>
          <w:tcPr>
            <w:tcW w:type="dxa" w:w="6306"/>
            <w:tcMar>
              <w:top w:type="dxa" w:w="130"/>
              <w:left w:type="dxa" w:w="90"/>
              <w:bottom w:type="dxa" w:w="130"/>
              <w:right w:type="dxa" w:w="90"/>
            </w:tcMar>
          </w:tcPr>
          <w:p>
            <w:pPr>
              <w:tabs>
                <w:tab w:val="right" w:pos="6000" w:leader="dot"/>
              </w:tabs>
              <w:spacing w:after="170"/>
            </w:pPr>
            <w:r>
              <w:tab/>
            </w:r>
          </w:p>
        </w:tc>
      </w:tr>
    </w:tbl>
    <w:p>
      <w:pPr>
        <w:spacing w:after="24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680"/>
        <w:gridCol w:w="720"/>
        <w:gridCol w:w="4680"/>
      </w:tblGrid>
      <w:tr>
        <w:tc>
          <w:tcPr>
            <w:tcW w:type="dxa" w:w="4680"/>
            <w:tcBorders>
              <w:top w:val="single" w:color="000000" w:sz="6"/>
              <w:left w:val="none"/>
              <w:bottom w:val="none"/>
              <w:right w:val="none"/>
            </w:tcBorders>
            <w:tcMar>
              <w:top w:type="dxa" w:w="60"/>
            </w:tcMar>
          </w:tcPr>
          <w:p>
            <w:pPr>
              <w:jc w:val="center"/>
            </w:pPr>
            <w:r>
              <w:rPr>
                <w:rFonts w:ascii="Calibri" w:cs="Calibri" w:eastAsia="Calibri" w:hAnsi="Calibri"/>
                <w:b w:val="false"/>
                <w:bCs w:val="false"/>
                <w:i w:val="false"/>
                <w:iCs w:val="false"/>
                <w:color w:val="595959"/>
                <w:sz w:val="18"/>
                <w:szCs w:val="18"/>
              </w:rPr>
              <w:t xml:space="preserve">Podpis Wykonawcy</w:t>
            </w:r>
          </w:p>
        </w:tc>
        <w:tc>
          <w:tcPr>
            <w:tcW w:type="dxa" w:w="720"/>
            <w:tcBorders>
              <w:top w:val="none"/>
              <w:left w:val="none"/>
              <w:bottom w:val="none"/>
              <w:right w:val="none"/>
            </w:tcBorders>
          </w:tcPr>
          <w:p/>
        </w:tc>
        <w:tc>
          <w:tcPr>
            <w:tcW w:type="dxa" w:w="4680"/>
            <w:tcBorders>
              <w:top w:val="single" w:color="000000" w:sz="6"/>
              <w:left w:val="none"/>
              <w:bottom w:val="none"/>
              <w:right w:val="none"/>
            </w:tcBorders>
            <w:tcMar>
              <w:top w:type="dxa" w:w="60"/>
            </w:tcMar>
          </w:tcPr>
          <w:p>
            <w:pPr>
              <w:jc w:val="center"/>
            </w:pPr>
            <w:r>
              <w:rPr>
                <w:rFonts w:ascii="Calibri" w:cs="Calibri" w:eastAsia="Calibri" w:hAnsi="Calibri"/>
                <w:b w:val="false"/>
                <w:bCs w:val="false"/>
                <w:i w:val="false"/>
                <w:iCs w:val="false"/>
                <w:color w:val="595959"/>
                <w:sz w:val="18"/>
                <w:szCs w:val="18"/>
              </w:rPr>
              <w:t xml:space="preserve">Podpis Inwestora</w:t>
            </w:r>
          </w:p>
        </w:tc>
      </w:tr>
    </w:tbl>
    <w:p>
      <w:pPr>
        <w:pageBreakBefore/>
        <w:spacing w:after="60"/>
        <w:jc w:val="center"/>
      </w:pPr>
      <w:r>
        <w:rPr>
          <w:rFonts w:ascii="Calibri" w:cs="Calibri" w:eastAsia="Calibri" w:hAnsi="Calibri"/>
          <w:b/>
          <w:bCs/>
          <w:color w:val="1F3864"/>
          <w:sz w:val="30"/>
          <w:szCs w:val="30"/>
        </w:rPr>
        <w:t xml:space="preserve">ZAŁĄCZNIK NR 4: POUCZENIE O PRAWIE ODSTĄPIENIA I FORMULARZ</w:t>
      </w:r>
    </w:p>
    <w:p>
      <w:pPr>
        <w:spacing w:after="160"/>
        <w:jc w:val="both"/>
      </w:pPr>
      <w:r>
        <w:rPr>
          <w:rFonts w:ascii="Calibri" w:cs="Calibri" w:eastAsia="Calibri" w:hAnsi="Calibri"/>
          <w:b w:val="false"/>
          <w:bCs w:val="false"/>
          <w:i w:val="false"/>
          <w:iCs w:val="false"/>
          <w:sz w:val="21"/>
          <w:szCs w:val="21"/>
        </w:rPr>
        <w:t xml:space="preserve">Ten załącznik stosuje się, jeżeli umowa została zawarta na odległość albo poza lokalem przedsiębiorstwa. Jeżeli umowa została zawarta w lokalu przedsiębiorstwa Wykonawcy, ustawowe prawo odstąpienia bez podania przyczyny co do zasady nie przysługuje.</w:t>
      </w:r>
    </w:p>
    <w:p>
      <w:pPr>
        <w:spacing w:after="90"/>
        <w:ind w:left="420" w:hanging="420"/>
        <w:jc w:val="both"/>
      </w:pPr>
      <w:r>
        <w:rPr>
          <w:rFonts w:ascii="Calibri" w:cs="Calibri" w:eastAsia="Calibri" w:hAnsi="Calibri"/>
          <w:b/>
          <w:bCs/>
          <w:sz w:val="21"/>
          <w:szCs w:val="21"/>
        </w:rPr>
        <w:t xml:space="preserve">1. </w:t>
      </w:r>
      <w:r>
        <w:rPr>
          <w:rFonts w:ascii="Calibri" w:cs="Calibri" w:eastAsia="Calibri" w:hAnsi="Calibri"/>
          <w:sz w:val="21"/>
          <w:szCs w:val="21"/>
        </w:rPr>
        <w:t xml:space="preserve">Mają Państwo prawo odstąpić od umowy w terminie 14 dni bez podania przyczyny, jeżeli umowa została zawarta na odległość albo poza lokalem przedsiębiorstwa.</w:t>
      </w:r>
    </w:p>
    <w:p>
      <w:pPr>
        <w:spacing w:after="90"/>
        <w:ind w:left="420" w:hanging="420"/>
        <w:jc w:val="both"/>
      </w:pPr>
      <w:r>
        <w:rPr>
          <w:rFonts w:ascii="Calibri" w:cs="Calibri" w:eastAsia="Calibri" w:hAnsi="Calibri"/>
          <w:b/>
          <w:bCs/>
          <w:sz w:val="21"/>
          <w:szCs w:val="21"/>
        </w:rPr>
        <w:t xml:space="preserve">2. </w:t>
      </w:r>
      <w:r>
        <w:rPr>
          <w:rFonts w:ascii="Calibri" w:cs="Calibri" w:eastAsia="Calibri" w:hAnsi="Calibri"/>
          <w:sz w:val="21"/>
          <w:szCs w:val="21"/>
        </w:rPr>
        <w:t xml:space="preserve">Jeżeli umowa została zawarta poza lokalem przedsiębiorstwa podczas nieumówionej wizyty Wykonawcy w miejscu zamieszkania lub zwykłego pobytu Inwestora albo podczas wycieczki, termin odstąpienia wynosi 30 dni.</w:t>
      </w:r>
    </w:p>
    <w:p>
      <w:pPr>
        <w:spacing w:after="90"/>
        <w:ind w:left="420" w:hanging="420"/>
        <w:jc w:val="both"/>
      </w:pPr>
      <w:r>
        <w:rPr>
          <w:rFonts w:ascii="Calibri" w:cs="Calibri" w:eastAsia="Calibri" w:hAnsi="Calibri"/>
          <w:b/>
          <w:bCs/>
          <w:sz w:val="21"/>
          <w:szCs w:val="21"/>
        </w:rPr>
        <w:t xml:space="preserve">3. </w:t>
      </w:r>
      <w:r>
        <w:rPr>
          <w:rFonts w:ascii="Calibri" w:cs="Calibri" w:eastAsia="Calibri" w:hAnsi="Calibri"/>
          <w:sz w:val="21"/>
          <w:szCs w:val="21"/>
        </w:rPr>
        <w:t xml:space="preserve">Termin do odstąpienia rozpoczyna się od dnia zawarcia umowy. Do zachowania terminu wystarczy wysłanie oświadczenia przed jego upływem.</w:t>
      </w:r>
    </w:p>
    <w:p>
      <w:pPr>
        <w:spacing w:after="90"/>
        <w:ind w:left="420" w:hanging="420"/>
        <w:jc w:val="both"/>
      </w:pPr>
      <w:r>
        <w:rPr>
          <w:rFonts w:ascii="Calibri" w:cs="Calibri" w:eastAsia="Calibri" w:hAnsi="Calibri"/>
          <w:b/>
          <w:bCs/>
          <w:sz w:val="21"/>
          <w:szCs w:val="21"/>
        </w:rPr>
        <w:t xml:space="preserve">4. </w:t>
      </w:r>
      <w:r>
        <w:rPr>
          <w:rFonts w:ascii="Calibri" w:cs="Calibri" w:eastAsia="Calibri" w:hAnsi="Calibri"/>
          <w:sz w:val="21"/>
          <w:szCs w:val="21"/>
        </w:rPr>
        <w:t xml:space="preserve">Oświadczenie można złożyć pisemnie, e-mailem, SMS-em albo w inny sposób pozwalający ustalić treść oświadczenia i osobę składającą.</w:t>
      </w:r>
    </w:p>
    <w:p>
      <w:pPr>
        <w:spacing w:after="90"/>
        <w:ind w:left="420" w:hanging="420"/>
        <w:jc w:val="both"/>
      </w:pPr>
      <w:r>
        <w:rPr>
          <w:rFonts w:ascii="Calibri" w:cs="Calibri" w:eastAsia="Calibri" w:hAnsi="Calibri"/>
          <w:b/>
          <w:bCs/>
          <w:sz w:val="21"/>
          <w:szCs w:val="21"/>
        </w:rPr>
        <w:t xml:space="preserve">5. </w:t>
      </w:r>
      <w:r>
        <w:rPr>
          <w:rFonts w:ascii="Calibri" w:cs="Calibri" w:eastAsia="Calibri" w:hAnsi="Calibri"/>
          <w:sz w:val="21"/>
          <w:szCs w:val="21"/>
        </w:rPr>
        <w:t xml:space="preserve">W przypadku odstąpienia umowę uważa się za niezawartą, z zastrzeżeniem obowiązku zapłaty za świadczenie spełnione do chwili odstąpienia, jeżeli Inwestor wyraźnie żądał rozpoczęcia wykonywania usługi przed upływem terminu odstąpienia.</w:t>
      </w:r>
    </w:p>
    <w:p>
      <w:pPr>
        <w:spacing w:after="90"/>
        <w:ind w:left="420" w:hanging="420"/>
        <w:jc w:val="both"/>
      </w:pPr>
      <w:r>
        <w:rPr>
          <w:rFonts w:ascii="Calibri" w:cs="Calibri" w:eastAsia="Calibri" w:hAnsi="Calibri"/>
          <w:b/>
          <w:bCs/>
          <w:sz w:val="21"/>
          <w:szCs w:val="21"/>
        </w:rPr>
        <w:t xml:space="preserve">6. </w:t>
      </w:r>
      <w:r>
        <w:rPr>
          <w:rFonts w:ascii="Calibri" w:cs="Calibri" w:eastAsia="Calibri" w:hAnsi="Calibri"/>
          <w:sz w:val="21"/>
          <w:szCs w:val="21"/>
        </w:rPr>
        <w:t xml:space="preserve">Jeżeli Wykonawca nie poinformował Inwestora o prawie odstąpienia, skutki i wydłużenie terminu określa ustawa o prawach konsumenta.</w:t>
      </w:r>
    </w:p>
    <w:p>
      <w:pPr>
        <w:spacing w:after="90"/>
        <w:ind w:left="420" w:hanging="420"/>
        <w:jc w:val="both"/>
      </w:pPr>
      <w:r>
        <w:rPr>
          <w:rFonts w:ascii="Calibri" w:cs="Calibri" w:eastAsia="Calibri" w:hAnsi="Calibri"/>
          <w:b/>
          <w:bCs/>
          <w:sz w:val="21"/>
          <w:szCs w:val="21"/>
        </w:rPr>
        <w:t xml:space="preserve">7. </w:t>
      </w:r>
      <w:r>
        <w:rPr>
          <w:rFonts w:ascii="Calibri" w:cs="Calibri" w:eastAsia="Calibri" w:hAnsi="Calibri"/>
          <w:sz w:val="21"/>
          <w:szCs w:val="21"/>
        </w:rPr>
        <w:t xml:space="preserve">Prawo odstąpienia nie przysługuje w przypadkach przewidzianych ustawą, w szczególności w zakresie pilnej naprawy lub konserwacji wykonanej na wyraźne żądanie Inwestora oraz po pełnym wykonaniu odpłatnej usługi za wyraźną i uprzednią zgodą Inwestora, po uprzednim poinformowaniu o utracie prawa odstąpienia i przyjęciu tego do wiadomości przez Inwestora.</w:t>
      </w:r>
    </w:p>
    <w:p>
      <w:pPr>
        <w:spacing w:after="120"/>
        <w:jc w:val="left"/>
      </w:pPr>
      <w:r>
        <w:rPr>
          <w:rFonts w:ascii="Calibri" w:cs="Calibri" w:eastAsia="Calibri" w:hAnsi="Calibri"/>
          <w:b/>
          <w:bCs/>
          <w:i w:val="false"/>
          <w:iCs w:val="false"/>
          <w:sz w:val="21"/>
          <w:szCs w:val="21"/>
        </w:rPr>
        <w:t xml:space="preserve">Formularz odstąpienia od umowy</w:t>
      </w:r>
    </w:p>
    <w:p>
      <w:pPr>
        <w:tabs>
          <w:tab w:val="right" w:pos="9506" w:leader="dot"/>
        </w:tabs>
        <w:spacing w:after="480"/>
      </w:pPr>
      <w:r>
        <w:rPr>
          <w:rFonts w:ascii="Calibri" w:cs="Calibri" w:eastAsia="Calibri" w:hAnsi="Calibri"/>
          <w:sz w:val="21"/>
          <w:szCs w:val="21"/>
        </w:rPr>
        <w:t xml:space="preserve">Adresat:  </w:t>
      </w:r>
      <w:r>
        <w:tab/>
      </w:r>
    </w:p>
    <w:p>
      <w:pPr>
        <w:spacing w:after="160"/>
        <w:jc w:val="both"/>
      </w:pPr>
      <w:r>
        <w:rPr>
          <w:rFonts w:ascii="Calibri" w:cs="Calibri" w:eastAsia="Calibri" w:hAnsi="Calibri"/>
          <w:b w:val="false"/>
          <w:bCs w:val="false"/>
          <w:i w:val="false"/>
          <w:iCs w:val="false"/>
          <w:sz w:val="21"/>
          <w:szCs w:val="21"/>
        </w:rPr>
        <w:t xml:space="preserve">Ja/My(*) niniejszym informuję/informujemy(*) o odstąpieniu od umowy o wykonanie prac remontowo-budowlanych.</w:t>
      </w:r>
    </w:p>
    <w:p>
      <w:pPr>
        <w:tabs>
          <w:tab w:val="right" w:pos="9506" w:leader="dot"/>
        </w:tabs>
        <w:spacing w:after="480"/>
      </w:pPr>
      <w:r>
        <w:rPr>
          <w:rFonts w:ascii="Calibri" w:cs="Calibri" w:eastAsia="Calibri" w:hAnsi="Calibri"/>
          <w:sz w:val="21"/>
          <w:szCs w:val="21"/>
        </w:rPr>
        <w:t xml:space="preserve">Data zawarcia umowy:  </w:t>
      </w:r>
      <w:r>
        <w:tab/>
      </w:r>
    </w:p>
    <w:p>
      <w:pPr>
        <w:tabs>
          <w:tab w:val="right" w:pos="9506" w:leader="dot"/>
        </w:tabs>
        <w:spacing w:after="480"/>
      </w:pPr>
      <w:r>
        <w:rPr>
          <w:rFonts w:ascii="Calibri" w:cs="Calibri" w:eastAsia="Calibri" w:hAnsi="Calibri"/>
          <w:sz w:val="21"/>
          <w:szCs w:val="21"/>
        </w:rPr>
        <w:t xml:space="preserve">Adres inwestycji:  </w:t>
      </w:r>
      <w:r>
        <w:tab/>
      </w:r>
    </w:p>
    <w:p>
      <w:pPr>
        <w:tabs>
          <w:tab w:val="right" w:pos="9506" w:leader="dot"/>
        </w:tabs>
        <w:spacing w:after="480"/>
      </w:pPr>
      <w:r>
        <w:rPr>
          <w:rFonts w:ascii="Calibri" w:cs="Calibri" w:eastAsia="Calibri" w:hAnsi="Calibri"/>
          <w:sz w:val="21"/>
          <w:szCs w:val="21"/>
        </w:rPr>
        <w:t xml:space="preserve">Imię i nazwisko konsumenta:  </w:t>
      </w:r>
      <w:r>
        <w:tab/>
      </w:r>
    </w:p>
    <w:p>
      <w:pPr>
        <w:tabs>
          <w:tab w:val="right" w:pos="9506" w:leader="dot"/>
        </w:tabs>
        <w:spacing w:after="480"/>
      </w:pPr>
      <w:r>
        <w:rPr>
          <w:rFonts w:ascii="Calibri" w:cs="Calibri" w:eastAsia="Calibri" w:hAnsi="Calibri"/>
          <w:sz w:val="21"/>
          <w:szCs w:val="21"/>
        </w:rPr>
        <w:t xml:space="preserve">Adres konsumenta:  </w:t>
      </w:r>
      <w:r>
        <w:tab/>
      </w:r>
    </w:p>
    <w:p>
      <w:pPr>
        <w:tabs>
          <w:tab w:val="right" w:pos="9506" w:leader="dot"/>
        </w:tabs>
        <w:spacing w:after="480"/>
      </w:pPr>
      <w:r>
        <w:rPr>
          <w:rFonts w:ascii="Calibri" w:cs="Calibri" w:eastAsia="Calibri" w:hAnsi="Calibri"/>
          <w:sz w:val="21"/>
          <w:szCs w:val="21"/>
        </w:rPr>
        <w:t xml:space="preserve">Data:  </w:t>
      </w:r>
      <w:r>
        <w:tab/>
      </w:r>
    </w:p>
    <w:p>
      <w:pPr>
        <w:tabs>
          <w:tab w:val="right" w:pos="9506" w:leader="dot"/>
        </w:tabs>
        <w:spacing w:after="480"/>
      </w:pPr>
      <w:r>
        <w:rPr>
          <w:rFonts w:ascii="Calibri" w:cs="Calibri" w:eastAsia="Calibri" w:hAnsi="Calibri"/>
          <w:sz w:val="21"/>
          <w:szCs w:val="21"/>
        </w:rPr>
        <w:t xml:space="preserve">Podpis (jeżeli formularz jest przesyłany w postaci papierowej):  </w:t>
      </w:r>
      <w:r>
        <w:tab/>
      </w:r>
    </w:p>
    <w:p>
      <w:pPr>
        <w:spacing w:after="200"/>
        <w:jc w:val="left"/>
      </w:pPr>
      <w:r>
        <w:rPr>
          <w:rFonts w:ascii="Calibri" w:cs="Calibri" w:eastAsia="Calibri" w:hAnsi="Calibri"/>
          <w:b w:val="false"/>
          <w:bCs w:val="false"/>
          <w:i/>
          <w:iCs/>
          <w:color w:val="595959"/>
          <w:sz w:val="21"/>
          <w:szCs w:val="21"/>
        </w:rPr>
        <w:t xml:space="preserve">(*) niepotrzebne skreślić</w:t>
      </w:r>
    </w:p>
    <w:p>
      <w:pPr>
        <w:pBdr>
          <w:top w:val="single" w:color="BFBFBF" w:sz="6" w:space="6"/>
          <w:bottom w:val="single" w:color="BFBFBF" w:sz="6" w:space="6"/>
          <w:left w:val="single" w:color="BFBFBF" w:sz="6" w:space="6"/>
          <w:right w:val="single" w:color="BFBFBF" w:sz="6" w:space="6"/>
        </w:pBdr>
        <w:spacing w:after="120" w:before="60"/>
      </w:pPr>
      <w:r>
        <w:rPr>
          <w:rFonts w:ascii="Calibri" w:cs="Calibri" w:eastAsia="Calibri" w:hAnsi="Calibri"/>
          <w:b/>
          <w:bCs/>
          <w:i w:val="false"/>
          <w:iCs w:val="false"/>
          <w:color w:val="1F3864"/>
          <w:sz w:val="20"/>
          <w:szCs w:val="20"/>
        </w:rPr>
        <w:t xml:space="preserve">Oświadczenie o rozpoczęciu prac przed upływem terminu odstąpienia (na trwałym nośniku)</w:t>
      </w:r>
    </w:p>
    <w:p>
      <w:pPr>
        <w:spacing w:after="180"/>
        <w:jc w:val="both"/>
      </w:pPr>
      <w:r>
        <w:rPr>
          <w:rFonts w:ascii="Calibri" w:cs="Calibri" w:eastAsia="Calibri" w:hAnsi="Calibri"/>
          <w:b w:val="false"/>
          <w:bCs w:val="false"/>
          <w:i w:val="false"/>
          <w:iCs w:val="false"/>
          <w:sz w:val="21"/>
          <w:szCs w:val="21"/>
        </w:rPr>
        <w:t xml:space="preserve">Ja, niżej podpisany/a, wyraźnie żądam rozpoczęcia wykonywania usługi przed upływem właściwego terminu do odstąpienia od umowy. Przyjmuję do wiadomości, że w razie odstąpienia przed pełnym wykonaniem usługi będę zobowiązany/a do zapłaty za świadczenie spełnione do chwili odstąpienia, proporcjonalnie do zakresu wykonanych prac, a po pełnym wykonaniu usługi za moją wyraźną i uprzednią zgodą utracę ustawowe prawo odstąpienia od umowy.</w:t>
      </w:r>
    </w:p>
    <w:p>
      <w:pPr>
        <w:tabs>
          <w:tab w:val="right" w:pos="9506" w:leader="dot"/>
        </w:tabs>
        <w:spacing w:after="120"/>
      </w:pPr>
      <w:r>
        <w:tab/>
      </w:r>
    </w:p>
    <w:p>
      <w:pPr>
        <w:spacing w:after="120"/>
        <w:jc w:val="left"/>
      </w:pPr>
      <w:r>
        <w:rPr>
          <w:rFonts w:ascii="Calibri" w:cs="Calibri" w:eastAsia="Calibri" w:hAnsi="Calibri"/>
          <w:b w:val="false"/>
          <w:bCs w:val="false"/>
          <w:i/>
          <w:iCs/>
          <w:color w:val="595959"/>
          <w:sz w:val="21"/>
          <w:szCs w:val="21"/>
        </w:rPr>
        <w:t xml:space="preserve">(data i czytelny podpis Inwestora)</w:t>
      </w:r>
    </w:p>
    <w:p>
      <w:pPr>
        <w:pageBreakBefore/>
        <w:spacing w:after="60"/>
        <w:jc w:val="center"/>
      </w:pPr>
      <w:r>
        <w:rPr>
          <w:rFonts w:ascii="Calibri" w:cs="Calibri" w:eastAsia="Calibri" w:hAnsi="Calibri"/>
          <w:b/>
          <w:bCs/>
          <w:color w:val="1F3864"/>
          <w:sz w:val="30"/>
          <w:szCs w:val="30"/>
        </w:rPr>
        <w:t xml:space="preserve">ZAŁĄCZNIK NR 5: POTWIERDZENIE PRZEKAZANIA INFORMACJI KONSUMENTOWI</w:t>
      </w:r>
    </w:p>
    <w:p>
      <w:pPr>
        <w:spacing w:after="240"/>
        <w:jc w:val="center"/>
      </w:pPr>
      <w:r>
        <w:rPr>
          <w:rFonts w:ascii="Calibri" w:cs="Calibri" w:eastAsia="Calibri" w:hAnsi="Calibri"/>
          <w:i/>
          <w:iCs/>
          <w:color w:val="595959"/>
          <w:sz w:val="18"/>
          <w:szCs w:val="18"/>
        </w:rPr>
        <w:t xml:space="preserve">Dokumentuje, że przed związaniem konsumenta umową przekazano mu najważniejsze informacje wymagane przy umowach B2C.</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4506"/>
        <w:gridCol w:w="2500"/>
        <w:gridCol w:w="2500"/>
      </w:tblGrid>
      <w:tr>
        <w:trPr>
          <w:tblHeader/>
        </w:trPr>
        <w:tc>
          <w:tcPr>
            <w:tcW w:type="dxa" w:w="4506"/>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6"/>
                <w:szCs w:val="16"/>
              </w:rPr>
              <w:t xml:space="preserve">Informacja</w:t>
            </w:r>
          </w:p>
        </w:tc>
        <w:tc>
          <w:tcPr>
            <w:tcW w:type="dxa" w:w="2500"/>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6"/>
                <w:szCs w:val="16"/>
              </w:rPr>
              <w:t xml:space="preserve">Gdzie wskazano</w:t>
            </w:r>
          </w:p>
        </w:tc>
        <w:tc>
          <w:tcPr>
            <w:tcW w:type="dxa" w:w="2500"/>
            <w:shd w:fill="1F3864" w:color="auto" w:val="clear"/>
            <w:tcMar>
              <w:top w:type="dxa" w:w="130"/>
              <w:left w:type="dxa" w:w="90"/>
              <w:bottom w:type="dxa" w:w="130"/>
              <w:right w:type="dxa" w:w="90"/>
            </w:tcMar>
          </w:tcPr>
          <w:p>
            <w:r>
              <w:rPr>
                <w:rFonts w:ascii="Calibri" w:cs="Calibri" w:eastAsia="Calibri" w:hAnsi="Calibri"/>
                <w:b/>
                <w:bCs/>
                <w:i w:val="false"/>
                <w:iCs w:val="false"/>
                <w:color w:val="FFFFFF"/>
                <w:sz w:val="16"/>
                <w:szCs w:val="16"/>
              </w:rPr>
              <w:t xml:space="preserve">Potwierdzenie</w:t>
            </w:r>
          </w:p>
        </w:tc>
      </w:tr>
      <w:tr>
        <w:tc>
          <w:tcPr>
            <w:tcW w:type="dxa" w:w="45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Dane identyfikujące Wykonawcę i dane kontaktowe</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1</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 przekazano</w:t>
            </w:r>
          </w:p>
        </w:tc>
      </w:tr>
      <w:tr>
        <w:tc>
          <w:tcPr>
            <w:tcW w:type="dxa" w:w="45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Opis głównych cech świadczenia / zakres prac</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4 i Zał. 1</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 przekazano</w:t>
            </w:r>
          </w:p>
        </w:tc>
      </w:tr>
      <w:tr>
        <w:tc>
          <w:tcPr>
            <w:tcW w:type="dxa" w:w="45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Cena brutto, podatki, płatności, etapy</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7</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 przekazano</w:t>
            </w:r>
          </w:p>
        </w:tc>
      </w:tr>
      <w:tr>
        <w:tc>
          <w:tcPr>
            <w:tcW w:type="dxa" w:w="45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Termin wykonania i warunki rozpoczęcia prac</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6</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 przekazano</w:t>
            </w:r>
          </w:p>
        </w:tc>
      </w:tr>
      <w:tr>
        <w:tc>
          <w:tcPr>
            <w:tcW w:type="dxa" w:w="45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Tryb reklamacji i termin odpowiedzi</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12</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 przekazano</w:t>
            </w:r>
          </w:p>
        </w:tc>
      </w:tr>
      <w:tr>
        <w:tc>
          <w:tcPr>
            <w:tcW w:type="dxa" w:w="45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Rękojmia i ewentualna gwarancja</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12</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 przekazano</w:t>
            </w:r>
          </w:p>
        </w:tc>
      </w:tr>
      <w:tr>
        <w:tc>
          <w:tcPr>
            <w:tcW w:type="dxa" w:w="45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Prawo odstąpienia 14/30 dni albo jego brak przy umowie w lokalu</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2, § 15, Zał. 4</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 przekazano</w:t>
            </w:r>
          </w:p>
        </w:tc>
      </w:tr>
      <w:tr>
        <w:tc>
          <w:tcPr>
            <w:tcW w:type="dxa" w:w="45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Skutki rozpoczęcia prac przed upływem terminu odstąpienia</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15 i Zał. 4</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 przekazano</w:t>
            </w:r>
          </w:p>
        </w:tc>
      </w:tr>
      <w:tr>
        <w:tc>
          <w:tcPr>
            <w:tcW w:type="dxa" w:w="45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Zakaz przyjmowania płatności przed terminem odstąpienia (przypadki ustawowe)</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7</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 przekazano</w:t>
            </w:r>
          </w:p>
        </w:tc>
      </w:tr>
      <w:tr>
        <w:tc>
          <w:tcPr>
            <w:tcW w:type="dxa" w:w="45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Zasady prac dodatkowych i zmian ceny/terminu</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8 i Zał. 2</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 przekazano</w:t>
            </w:r>
          </w:p>
        </w:tc>
      </w:tr>
      <w:tr>
        <w:tc>
          <w:tcPr>
            <w:tcW w:type="dxa" w:w="45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Odbiór, usterki i protokół</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11 i Zał. 3</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 przekazano</w:t>
            </w:r>
          </w:p>
        </w:tc>
      </w:tr>
      <w:tr>
        <w:tc>
          <w:tcPr>
            <w:tcW w:type="dxa" w:w="4506"/>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Dane osobowe / RODO</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16</w:t>
            </w:r>
          </w:p>
        </w:tc>
        <w:tc>
          <w:tcPr>
            <w:tcW w:type="dxa" w:w="2500"/>
            <w:tcMar>
              <w:top w:type="dxa" w:w="130"/>
              <w:left w:type="dxa" w:w="90"/>
              <w:bottom w:type="dxa" w:w="130"/>
              <w:right w:type="dxa" w:w="90"/>
            </w:tcMar>
          </w:tcPr>
          <w:p>
            <w:r>
              <w:rPr>
                <w:rFonts w:ascii="Calibri" w:cs="Calibri" w:eastAsia="Calibri" w:hAnsi="Calibri"/>
                <w:b w:val="false"/>
                <w:bCs w:val="false"/>
                <w:i w:val="false"/>
                <w:iCs w:val="false"/>
                <w:sz w:val="18"/>
                <w:szCs w:val="18"/>
              </w:rPr>
              <w:t xml:space="preserve">[ ] przekazano</w:t>
            </w:r>
          </w:p>
        </w:tc>
      </w:tr>
    </w:tbl>
    <w:p>
      <w:pPr>
        <w:spacing w:after="160"/>
      </w:pPr>
    </w:p>
    <w:p>
      <w:pPr>
        <w:spacing w:after="180"/>
        <w:jc w:val="both"/>
      </w:pPr>
      <w:r>
        <w:rPr>
          <w:rFonts w:ascii="Calibri" w:cs="Calibri" w:eastAsia="Calibri" w:hAnsi="Calibri"/>
          <w:b w:val="false"/>
          <w:bCs w:val="false"/>
          <w:i w:val="false"/>
          <w:iCs w:val="false"/>
          <w:sz w:val="21"/>
          <w:szCs w:val="21"/>
        </w:rPr>
        <w:t xml:space="preserve">Oświadczam, że przed podpisaniem umowy otrzymałem/am powyższe informacje oraz egzemplarz umowy z załącznikami na papierze albo na innym trwałym nośniku.</w:t>
      </w:r>
    </w:p>
    <w:p>
      <w:pPr>
        <w:tabs>
          <w:tab w:val="right" w:pos="9506" w:leader="dot"/>
        </w:tabs>
        <w:spacing w:after="120"/>
      </w:pPr>
      <w:r>
        <w:tab/>
      </w:r>
    </w:p>
    <w:p>
      <w:pPr>
        <w:spacing w:after="220"/>
        <w:jc w:val="left"/>
      </w:pPr>
      <w:r>
        <w:rPr>
          <w:rFonts w:ascii="Calibri" w:cs="Calibri" w:eastAsia="Calibri" w:hAnsi="Calibri"/>
          <w:b w:val="false"/>
          <w:bCs w:val="false"/>
          <w:i/>
          <w:iCs/>
          <w:color w:val="595959"/>
          <w:sz w:val="21"/>
          <w:szCs w:val="21"/>
        </w:rPr>
        <w:t xml:space="preserve">(data i czytelny podpis Inwestora)</w:t>
      </w:r>
    </w:p>
    <w:p>
      <w:pPr>
        <w:pageBreakBefore/>
        <w:spacing w:after="0" w:before="1800"/>
      </w:pPr>
    </w:p>
    <w:p>
      <w:pPr>
        <w:spacing w:after="200" w:before="120"/>
        <w:jc w:val="center"/>
      </w:pPr>
      <w:r>
        <w:drawing>
          <wp:inline distT="0" distB="0" distL="0" distR="0">
            <wp:extent cx="2857500" cy="2771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857500" cy="2771775"/>
                    </a:xfrm>
                    <a:prstGeom prst="rect">
                      <a:avLst/>
                    </a:prstGeom>
                  </pic:spPr>
                </pic:pic>
              </a:graphicData>
            </a:graphic>
          </wp:inline>
        </w:drawing>
      </w:r>
    </w:p>
    <w:p>
      <w:pPr>
        <w:spacing w:after="160"/>
        <w:jc w:val="center"/>
      </w:pPr>
      <w:r>
        <w:rPr>
          <w:rFonts w:ascii="Calibri" w:cs="Calibri" w:eastAsia="Calibri" w:hAnsi="Calibri"/>
          <w:b/>
          <w:bCs/>
          <w:i w:val="false"/>
          <w:iCs w:val="false"/>
          <w:color w:val="1F3864"/>
          <w:sz w:val="22"/>
          <w:szCs w:val="22"/>
        </w:rPr>
        <w:t xml:space="preserve">Wzór przygotowany we współpracy z BudFinder.pl</w:t>
      </w:r>
    </w:p>
    <w:p>
      <w:pPr>
        <w:pBdr>
          <w:top w:val="single" w:color="BFBFBF" w:sz="6" w:space="6"/>
        </w:pBdr>
        <w:spacing w:before="120"/>
        <w:jc w:val="center"/>
      </w:pPr>
      <w:r>
        <w:rPr>
          <w:rFonts w:ascii="Calibri" w:cs="Calibri" w:eastAsia="Calibri" w:hAnsi="Calibri"/>
          <w:b w:val="false"/>
          <w:bCs w:val="false"/>
          <w:i/>
          <w:iCs/>
          <w:color w:val="595959"/>
          <w:sz w:val="16"/>
          <w:szCs w:val="16"/>
        </w:rPr>
        <w:t xml:space="preserve">Wzór ma charakter pomocniczy i jest przeznaczony dla prostych zleceń B2C. Nie stanowi porady prawnej. BudFinder.pl nie jest stroną umowy. Przy większych robotach, robotach wymagających pozwolenia lub zgłoszenia, ingerencji w konstrukcję albo częściach wspólnych budynku należy skonsultować umowę indywidualnie z prawnikiem.</w:t>
      </w:r>
    </w:p>
    <w:sectPr>
      <w:footerReference w:type="default" r:id="rId7"/>
      <w:pgSz w:w="11906" w:h="16838" w:orient="portrait"/>
      <w:pgMar w:top="1200" w:right="1200" w:bottom="11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b w:val="false"/>
        <w:bCs w:val="false"/>
        <w:i w:val="false"/>
        <w:iCs w:val="false"/>
        <w:color w:val="595959"/>
        <w:sz w:val="15"/>
        <w:szCs w:val="15"/>
      </w:rPr>
      <w:t xml:space="preserve">Umowa o wykonanie robót remontowo-budowlanych (B2C) — BudFinder.pl   •   str. </w:t>
    </w:r>
    <w:r>
      <w:rPr>
        <w:rFonts w:ascii="Calibri" w:cs="Calibri" w:eastAsia="Calibri" w:hAnsi="Calibri"/>
        <w:color w:val="595959"/>
        <w:sz w:val="15"/>
        <w:szCs w:val="15"/>
      </w:rPr>
      <w:fldChar w:fldCharType="begin"/>
      <w:instrText xml:space="preserve">PAGE</w:instrText>
      <w:fldChar w:fldCharType="separate"/>
      <w:fldChar w:fldCharType="end"/>
    </w:r>
    <w:r>
      <w:rPr>
        <w:rFonts w:ascii="Calibri" w:cs="Calibri" w:eastAsia="Calibri" w:hAnsi="Calibri"/>
        <w:b w:val="false"/>
        <w:bCs w:val="false"/>
        <w:i w:val="false"/>
        <w:iCs w:val="false"/>
        <w:color w:val="595959"/>
        <w:sz w:val="15"/>
        <w:szCs w:val="15"/>
      </w:rPr>
      <w:t xml:space="preserve"> / </w:t>
    </w:r>
    <w:r>
      <w:rPr>
        <w:rFonts w:ascii="Calibri" w:cs="Calibri" w:eastAsia="Calibri" w:hAnsi="Calibri"/>
        <w:color w:val="595959"/>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5b2cd334c70193611253cf80cb90c9392777d2af.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wykonanie robót remontowo-budowlanych (B2C)</dc:title>
  <dc:creator>BudFinder.pl</dc:creator>
  <cp:lastModifiedBy>Un-named</cp:lastModifiedBy>
  <cp:revision>1</cp:revision>
  <dcterms:created xsi:type="dcterms:W3CDTF">2026-07-02T10:18:25.178Z</dcterms:created>
  <dcterms:modified xsi:type="dcterms:W3CDTF">2026-07-02T10:18:25.190Z</dcterms:modified>
</cp:coreProperties>
</file>

<file path=docProps/custom.xml><?xml version="1.0" encoding="utf-8"?>
<Properties xmlns="http://schemas.openxmlformats.org/officeDocument/2006/custom-properties" xmlns:vt="http://schemas.openxmlformats.org/officeDocument/2006/docPropsVTypes"/>
</file>